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color w:val="auto"/>
        </w:rPr>
      </w:pPr>
      <w:r>
        <w:rPr>
          <w:rFonts w:hint="eastAsia"/>
          <w:color w:val="auto"/>
        </w:rPr>
        <w:t>大同市公安局</w:t>
      </w:r>
      <w:r>
        <w:rPr>
          <w:rFonts w:hint="eastAsia"/>
          <w:color w:val="auto"/>
          <w:lang w:eastAsia="zh-CN"/>
        </w:rPr>
        <w:t>平</w:t>
      </w:r>
      <w:bookmarkStart w:id="0" w:name="_GoBack"/>
      <w:bookmarkEnd w:id="0"/>
      <w:r>
        <w:rPr>
          <w:rFonts w:hint="eastAsia"/>
          <w:color w:val="auto"/>
        </w:rPr>
        <w:t>城区分局权责清单问责依据</w:t>
      </w:r>
    </w:p>
    <w:tbl>
      <w:tblPr>
        <w:tblStyle w:val="6"/>
        <w:tblW w:w="14117" w:type="dxa"/>
        <w:tblInd w:w="0" w:type="dxa"/>
        <w:tblLayout w:type="fixed"/>
        <w:tblCellMar>
          <w:top w:w="57" w:type="dxa"/>
          <w:left w:w="57" w:type="dxa"/>
          <w:bottom w:w="57" w:type="dxa"/>
          <w:right w:w="57" w:type="dxa"/>
        </w:tblCellMar>
      </w:tblPr>
      <w:tblGrid>
        <w:gridCol w:w="711"/>
        <w:gridCol w:w="2702"/>
        <w:gridCol w:w="10704"/>
      </w:tblGrid>
      <w:tr>
        <w:tblPrEx>
          <w:tblLayout w:type="fixed"/>
          <w:tblCellMar>
            <w:top w:w="57" w:type="dxa"/>
            <w:left w:w="57" w:type="dxa"/>
            <w:bottom w:w="57" w:type="dxa"/>
            <w:right w:w="57" w:type="dxa"/>
          </w:tblCellMar>
        </w:tblPrEx>
        <w:trPr>
          <w:trHeight w:val="565" w:hRule="atLeast"/>
          <w:tblHeader/>
        </w:trPr>
        <w:tc>
          <w:tcPr>
            <w:tcW w:w="71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
              <w:rPr>
                <w:color w:val="auto"/>
              </w:rPr>
            </w:pPr>
            <w:r>
              <w:rPr>
                <w:rFonts w:hint="eastAsia"/>
                <w:color w:val="auto"/>
              </w:rPr>
              <w:t>序号</w:t>
            </w:r>
          </w:p>
        </w:tc>
        <w:tc>
          <w:tcPr>
            <w:tcW w:w="2702" w:type="dxa"/>
            <w:tcBorders>
              <w:top w:val="single" w:color="auto" w:sz="4" w:space="0"/>
              <w:left w:val="nil"/>
              <w:bottom w:val="single" w:color="auto" w:sz="4" w:space="0"/>
              <w:right w:val="single" w:color="auto" w:sz="4" w:space="0"/>
            </w:tcBorders>
            <w:shd w:val="clear" w:color="auto" w:fill="auto"/>
            <w:vAlign w:val="center"/>
          </w:tcPr>
          <w:p>
            <w:pPr>
              <w:pStyle w:val="10"/>
              <w:rPr>
                <w:color w:val="auto"/>
              </w:rPr>
            </w:pPr>
            <w:r>
              <w:rPr>
                <w:rFonts w:hint="eastAsia"/>
                <w:color w:val="auto"/>
              </w:rPr>
              <w:t>法律法规规章名称</w:t>
            </w:r>
          </w:p>
        </w:tc>
        <w:tc>
          <w:tcPr>
            <w:tcW w:w="10704" w:type="dxa"/>
            <w:tcBorders>
              <w:top w:val="single" w:color="auto" w:sz="4" w:space="0"/>
              <w:left w:val="nil"/>
              <w:bottom w:val="single" w:color="auto" w:sz="4" w:space="0"/>
              <w:right w:val="single" w:color="auto" w:sz="4" w:space="0"/>
            </w:tcBorders>
            <w:shd w:val="clear" w:color="auto" w:fill="auto"/>
            <w:vAlign w:val="center"/>
          </w:tcPr>
          <w:p>
            <w:pPr>
              <w:pStyle w:val="10"/>
              <w:rPr>
                <w:color w:val="auto"/>
              </w:rPr>
            </w:pPr>
            <w:r>
              <w:rPr>
                <w:rFonts w:hint="eastAsia"/>
                <w:color w:val="auto"/>
              </w:rPr>
              <w:t>相关条款</w:t>
            </w:r>
          </w:p>
        </w:tc>
      </w:tr>
      <w:tr>
        <w:tblPrEx>
          <w:tblLayout w:type="fixed"/>
          <w:tblCellMar>
            <w:top w:w="57" w:type="dxa"/>
            <w:left w:w="57" w:type="dxa"/>
            <w:bottom w:w="57" w:type="dxa"/>
            <w:right w:w="57" w:type="dxa"/>
          </w:tblCellMar>
        </w:tblPrEx>
        <w:trPr>
          <w:trHeight w:val="2280"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27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《行政许可法》</w:t>
            </w:r>
          </w:p>
        </w:tc>
        <w:tc>
          <w:tcPr>
            <w:tcW w:w="10704" w:type="dxa"/>
            <w:tcBorders>
              <w:top w:val="nil"/>
              <w:left w:val="nil"/>
              <w:bottom w:val="single" w:color="auto" w:sz="4" w:space="0"/>
              <w:right w:val="single" w:color="auto" w:sz="4" w:space="0"/>
            </w:tcBorders>
            <w:shd w:val="clear" w:color="auto" w:fill="auto"/>
            <w:vAlign w:val="center"/>
          </w:tcPr>
          <w:p>
            <w:pPr>
              <w:pStyle w:val="12"/>
              <w:ind w:firstLine="360" w:firstLineChars="200"/>
              <w:rPr>
                <w:color w:val="auto"/>
              </w:rPr>
            </w:pPr>
            <w:r>
              <w:rPr>
                <w:rFonts w:hint="eastAsia"/>
                <w:bCs/>
                <w:color w:val="auto"/>
              </w:rPr>
              <w:t>第七十二条</w:t>
            </w:r>
            <w:r>
              <w:rPr>
                <w:rFonts w:hint="eastAsia"/>
                <w:color w:val="auto"/>
              </w:rPr>
              <w:t xml:space="preserve"> 行政机关及其工作人员违反本法的规定，有下列情形之一的，由其上级行政机关或者监察机关责令改正；情节严重的，对直接负责的主管人员和其他直接责任人员依法给予行政处分：</w:t>
            </w:r>
            <w:r>
              <w:rPr>
                <w:rFonts w:hint="eastAsia"/>
                <w:color w:val="auto"/>
              </w:rPr>
              <w:br w:type="textWrapping"/>
            </w:r>
            <w:r>
              <w:rPr>
                <w:rFonts w:hint="eastAsia"/>
                <w:color w:val="auto"/>
              </w:rPr>
              <w:t>　　（一）对符合法定条件的行政许可申请不予受理的；</w:t>
            </w:r>
            <w:r>
              <w:rPr>
                <w:rFonts w:hint="eastAsia"/>
                <w:color w:val="auto"/>
              </w:rPr>
              <w:br w:type="textWrapping"/>
            </w:r>
            <w:r>
              <w:rPr>
                <w:rFonts w:hint="eastAsia"/>
                <w:color w:val="auto"/>
              </w:rPr>
              <w:t>　　（二）不在办公场所公示依法应当公示的材料的；</w:t>
            </w:r>
            <w:r>
              <w:rPr>
                <w:rFonts w:hint="eastAsia"/>
                <w:color w:val="auto"/>
              </w:rPr>
              <w:br w:type="textWrapping"/>
            </w:r>
            <w:r>
              <w:rPr>
                <w:rFonts w:hint="eastAsia"/>
                <w:color w:val="auto"/>
              </w:rPr>
              <w:t>　　（三）在受理、审查、决定行政许可过程中，未向申请人、利害关系人履行法定告知义务的；</w:t>
            </w:r>
            <w:r>
              <w:rPr>
                <w:rFonts w:hint="eastAsia"/>
                <w:color w:val="auto"/>
              </w:rPr>
              <w:br w:type="textWrapping"/>
            </w:r>
            <w:r>
              <w:rPr>
                <w:rFonts w:hint="eastAsia"/>
                <w:color w:val="auto"/>
              </w:rPr>
              <w:t>　　（四）申请人提交的申请材料不齐全、不符合法定形式，不一次告知申请人必须补正的全部内容的；</w:t>
            </w:r>
            <w:r>
              <w:rPr>
                <w:rFonts w:hint="eastAsia"/>
                <w:color w:val="auto"/>
              </w:rPr>
              <w:br w:type="textWrapping"/>
            </w:r>
            <w:r>
              <w:rPr>
                <w:rFonts w:hint="eastAsia"/>
                <w:color w:val="auto"/>
              </w:rPr>
              <w:t>　　（五）未依法说明不受理行政许可申请或者不予行政许可的理由的；</w:t>
            </w:r>
            <w:r>
              <w:rPr>
                <w:rFonts w:hint="eastAsia"/>
                <w:color w:val="auto"/>
              </w:rPr>
              <w:br w:type="textWrapping"/>
            </w:r>
            <w:r>
              <w:rPr>
                <w:rFonts w:hint="eastAsia"/>
                <w:color w:val="auto"/>
              </w:rPr>
              <w:t>　　（六）依法应当举行听证而不举行听证的。</w:t>
            </w:r>
          </w:p>
        </w:tc>
      </w:tr>
      <w:tr>
        <w:tblPrEx>
          <w:tblLayout w:type="fixed"/>
          <w:tblCellMar>
            <w:top w:w="57" w:type="dxa"/>
            <w:left w:w="57" w:type="dxa"/>
            <w:bottom w:w="57" w:type="dxa"/>
            <w:right w:w="57" w:type="dxa"/>
          </w:tblCellMar>
        </w:tblPrEx>
        <w:trPr>
          <w:trHeight w:val="624"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27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《行政许可法》</w:t>
            </w:r>
          </w:p>
        </w:tc>
        <w:tc>
          <w:tcPr>
            <w:tcW w:w="10704" w:type="dxa"/>
            <w:tcBorders>
              <w:top w:val="nil"/>
              <w:left w:val="nil"/>
              <w:bottom w:val="single" w:color="auto" w:sz="4" w:space="0"/>
              <w:right w:val="single" w:color="auto" w:sz="4" w:space="0"/>
            </w:tcBorders>
            <w:shd w:val="clear" w:color="auto" w:fill="auto"/>
            <w:vAlign w:val="center"/>
          </w:tcPr>
          <w:p>
            <w:pPr>
              <w:pStyle w:val="12"/>
              <w:rPr>
                <w:bCs/>
                <w:color w:val="auto"/>
              </w:rPr>
            </w:pPr>
            <w:r>
              <w:rPr>
                <w:rFonts w:hint="eastAsia"/>
                <w:bCs/>
                <w:color w:val="auto"/>
              </w:rPr>
              <w:t xml:space="preserve">    第七十三条</w:t>
            </w:r>
            <w:r>
              <w:rPr>
                <w:rFonts w:hint="eastAsia"/>
                <w:color w:val="auto"/>
              </w:rPr>
              <w:t xml:space="preserve"> 行政机关工作人员办理行政许可、实施监督检查，索取或者收受他人财物或者谋取其他利益，构成犯罪的，依法追究刑事责任；尚不构成犯罪的，依法给予行政处分。</w:t>
            </w:r>
          </w:p>
        </w:tc>
      </w:tr>
      <w:tr>
        <w:tblPrEx>
          <w:tblLayout w:type="fixed"/>
          <w:tblCellMar>
            <w:top w:w="57" w:type="dxa"/>
            <w:left w:w="57" w:type="dxa"/>
            <w:bottom w:w="57" w:type="dxa"/>
            <w:right w:w="57" w:type="dxa"/>
          </w:tblCellMar>
        </w:tblPrEx>
        <w:trPr>
          <w:trHeight w:val="1641"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27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《行政许可法》</w:t>
            </w:r>
          </w:p>
        </w:tc>
        <w:tc>
          <w:tcPr>
            <w:tcW w:w="10704" w:type="dxa"/>
            <w:tcBorders>
              <w:top w:val="nil"/>
              <w:left w:val="nil"/>
              <w:bottom w:val="single" w:color="auto" w:sz="4" w:space="0"/>
              <w:right w:val="single" w:color="auto" w:sz="4" w:space="0"/>
            </w:tcBorders>
            <w:shd w:val="clear" w:color="auto" w:fill="auto"/>
            <w:vAlign w:val="center"/>
          </w:tcPr>
          <w:p>
            <w:pPr>
              <w:pStyle w:val="12"/>
              <w:ind w:firstLine="360" w:firstLineChars="200"/>
              <w:rPr>
                <w:color w:val="auto"/>
              </w:rPr>
            </w:pPr>
            <w:r>
              <w:rPr>
                <w:rFonts w:hint="eastAsia"/>
                <w:bCs/>
                <w:color w:val="auto"/>
              </w:rPr>
              <w:t xml:space="preserve">第七十四条 </w:t>
            </w:r>
            <w:r>
              <w:rPr>
                <w:rFonts w:hint="eastAsia"/>
                <w:color w:val="auto"/>
              </w:rPr>
              <w:t>行政机关实施行政许可，有下列情形之一的，由其上级行政机关或者监察机关责令改正，对直接负责的主管人员和其他直接责任人员依法给予行政处分；构成犯罪的，依法追究刑事责任：</w:t>
            </w:r>
            <w:r>
              <w:rPr>
                <w:rFonts w:hint="eastAsia"/>
                <w:color w:val="auto"/>
              </w:rPr>
              <w:br w:type="textWrapping"/>
            </w:r>
            <w:r>
              <w:rPr>
                <w:rFonts w:hint="eastAsia"/>
                <w:color w:val="auto"/>
              </w:rPr>
              <w:t>　　（一）对不符合法定条件的申请人准予行政许可或者超越法定职权作出准予行政许可决定的；</w:t>
            </w:r>
            <w:r>
              <w:rPr>
                <w:rFonts w:hint="eastAsia"/>
                <w:color w:val="auto"/>
              </w:rPr>
              <w:br w:type="textWrapping"/>
            </w:r>
            <w:r>
              <w:rPr>
                <w:rFonts w:hint="eastAsia"/>
                <w:color w:val="auto"/>
              </w:rPr>
              <w:t>　　（二）对符合法定条件的申请人不予行政许可或者不在法定期限内作出准予行政许可决定的；</w:t>
            </w:r>
            <w:r>
              <w:rPr>
                <w:rFonts w:hint="eastAsia"/>
                <w:color w:val="auto"/>
              </w:rPr>
              <w:br w:type="textWrapping"/>
            </w:r>
            <w:r>
              <w:rPr>
                <w:rFonts w:hint="eastAsia"/>
                <w:color w:val="auto"/>
              </w:rPr>
              <w:t>　　（三）依法应当根据招标、拍卖结果或者考试成绩择优作出准予行政许可决定，未经招标、拍卖或者考试，或者不根据招标、拍卖结果或者考试成绩择优作出准予行政许可决定的。</w:t>
            </w:r>
          </w:p>
        </w:tc>
      </w:tr>
      <w:tr>
        <w:tblPrEx>
          <w:tblLayout w:type="fixed"/>
          <w:tblCellMar>
            <w:top w:w="57" w:type="dxa"/>
            <w:left w:w="57" w:type="dxa"/>
            <w:bottom w:w="57" w:type="dxa"/>
            <w:right w:w="57" w:type="dxa"/>
          </w:tblCellMar>
        </w:tblPrEx>
        <w:trPr>
          <w:trHeight w:val="1101"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27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《行政许可法》</w:t>
            </w:r>
          </w:p>
        </w:tc>
        <w:tc>
          <w:tcPr>
            <w:tcW w:w="10704" w:type="dxa"/>
            <w:tcBorders>
              <w:top w:val="nil"/>
              <w:left w:val="nil"/>
              <w:bottom w:val="single" w:color="auto" w:sz="4" w:space="0"/>
              <w:right w:val="single" w:color="auto" w:sz="4" w:space="0"/>
            </w:tcBorders>
            <w:shd w:val="clear" w:color="auto" w:fill="auto"/>
            <w:vAlign w:val="center"/>
          </w:tcPr>
          <w:p>
            <w:pPr>
              <w:pStyle w:val="12"/>
              <w:ind w:firstLine="360" w:firstLineChars="200"/>
              <w:rPr>
                <w:color w:val="auto"/>
              </w:rPr>
            </w:pPr>
            <w:r>
              <w:rPr>
                <w:rFonts w:hint="eastAsia"/>
                <w:bCs/>
                <w:color w:val="auto"/>
              </w:rPr>
              <w:t xml:space="preserve">第七十五条 </w:t>
            </w:r>
            <w:r>
              <w:rPr>
                <w:rFonts w:hint="eastAsia"/>
                <w:color w:val="auto"/>
              </w:rPr>
              <w:t>行政机关实施行政许可，擅自收费或者不按照法定项目和标准收费的，由其上级行政机关或者监察机关责令退还非法收取的费用；对直接负责的主管人员和其他直接责任人员依法给予行政处分。</w:t>
            </w:r>
            <w:r>
              <w:rPr>
                <w:rFonts w:hint="eastAsia"/>
                <w:color w:val="auto"/>
              </w:rPr>
              <w:br w:type="textWrapping"/>
            </w:r>
            <w:r>
              <w:rPr>
                <w:rFonts w:hint="eastAsia"/>
                <w:color w:val="auto"/>
              </w:rPr>
              <w:t>　　截留、挪用、私分或者变相私分实施行政许可依法收取的费用的，予以追缴；对直接负责的主管人员和其他直接责任人员依法给予行政处分；构成犯罪的，依法追究刑事责任。</w:t>
            </w:r>
          </w:p>
        </w:tc>
      </w:tr>
      <w:tr>
        <w:tblPrEx>
          <w:tblLayout w:type="fixed"/>
          <w:tblCellMar>
            <w:top w:w="57" w:type="dxa"/>
            <w:left w:w="57" w:type="dxa"/>
            <w:bottom w:w="57" w:type="dxa"/>
            <w:right w:w="57" w:type="dxa"/>
          </w:tblCellMar>
        </w:tblPrEx>
        <w:trPr>
          <w:trHeight w:val="624" w:hRule="atLeast"/>
        </w:trPr>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27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《行政许可法》</w:t>
            </w:r>
          </w:p>
        </w:tc>
        <w:tc>
          <w:tcPr>
            <w:tcW w:w="10704" w:type="dxa"/>
            <w:tcBorders>
              <w:top w:val="nil"/>
              <w:left w:val="nil"/>
              <w:bottom w:val="single" w:color="auto" w:sz="4" w:space="0"/>
              <w:right w:val="single" w:color="auto" w:sz="4" w:space="0"/>
            </w:tcBorders>
            <w:shd w:val="clear" w:color="auto" w:fill="auto"/>
            <w:vAlign w:val="center"/>
          </w:tcPr>
          <w:p>
            <w:pPr>
              <w:pStyle w:val="12"/>
              <w:ind w:firstLine="360" w:firstLineChars="200"/>
              <w:rPr>
                <w:color w:val="auto"/>
              </w:rPr>
            </w:pPr>
            <w:r>
              <w:rPr>
                <w:rFonts w:hint="eastAsia"/>
                <w:bCs/>
                <w:color w:val="auto"/>
              </w:rPr>
              <w:t>第七十六条</w:t>
            </w:r>
            <w:r>
              <w:rPr>
                <w:rFonts w:hint="eastAsia"/>
                <w:color w:val="auto"/>
              </w:rPr>
              <w:t xml:space="preserve"> 行政机关违法实施行政许可，给当事人的合法权益造成损害的，应当依照国家赔偿法的规定给予赔偿。</w:t>
            </w:r>
          </w:p>
        </w:tc>
      </w:tr>
    </w:tbl>
    <w:p/>
    <w:tbl>
      <w:tblPr>
        <w:tblStyle w:val="6"/>
        <w:tblW w:w="14092" w:type="dxa"/>
        <w:tblInd w:w="0" w:type="dxa"/>
        <w:tblLayout w:type="fixed"/>
        <w:tblCellMar>
          <w:top w:w="57" w:type="dxa"/>
          <w:left w:w="57" w:type="dxa"/>
          <w:bottom w:w="57" w:type="dxa"/>
          <w:right w:w="57" w:type="dxa"/>
        </w:tblCellMar>
      </w:tblPr>
      <w:tblGrid>
        <w:gridCol w:w="626"/>
        <w:gridCol w:w="3968"/>
        <w:gridCol w:w="9498"/>
      </w:tblGrid>
      <w:tr>
        <w:tblPrEx>
          <w:tblLayout w:type="fixed"/>
          <w:tblCellMar>
            <w:top w:w="57" w:type="dxa"/>
            <w:left w:w="57" w:type="dxa"/>
            <w:bottom w:w="57" w:type="dxa"/>
            <w:right w:w="57" w:type="dxa"/>
          </w:tblCellMar>
        </w:tblPrEx>
        <w:trPr>
          <w:trHeight w:val="508" w:hRule="atLeast"/>
          <w:tblHeader/>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
              <w:rPr>
                <w:color w:val="auto"/>
              </w:rPr>
            </w:pPr>
            <w:r>
              <w:rPr>
                <w:rFonts w:hint="eastAsia"/>
                <w:color w:val="auto"/>
              </w:rPr>
              <w:t>序号</w:t>
            </w:r>
          </w:p>
        </w:tc>
        <w:tc>
          <w:tcPr>
            <w:tcW w:w="3968" w:type="dxa"/>
            <w:tcBorders>
              <w:top w:val="single" w:color="auto" w:sz="4" w:space="0"/>
              <w:left w:val="nil"/>
              <w:bottom w:val="single" w:color="auto" w:sz="4" w:space="0"/>
              <w:right w:val="single" w:color="auto" w:sz="4" w:space="0"/>
            </w:tcBorders>
            <w:shd w:val="clear" w:color="auto" w:fill="auto"/>
            <w:vAlign w:val="center"/>
          </w:tcPr>
          <w:p>
            <w:pPr>
              <w:pStyle w:val="10"/>
              <w:rPr>
                <w:color w:val="auto"/>
              </w:rPr>
            </w:pPr>
            <w:r>
              <w:rPr>
                <w:rFonts w:hint="eastAsia"/>
                <w:color w:val="auto"/>
              </w:rPr>
              <w:t>法律法规规章名称</w:t>
            </w:r>
          </w:p>
        </w:tc>
        <w:tc>
          <w:tcPr>
            <w:tcW w:w="9498" w:type="dxa"/>
            <w:tcBorders>
              <w:top w:val="single" w:color="auto" w:sz="4" w:space="0"/>
              <w:left w:val="nil"/>
              <w:bottom w:val="single" w:color="auto" w:sz="4" w:space="0"/>
              <w:right w:val="single" w:color="auto" w:sz="4" w:space="0"/>
            </w:tcBorders>
            <w:shd w:val="clear" w:color="auto" w:fill="auto"/>
            <w:vAlign w:val="center"/>
          </w:tcPr>
          <w:p>
            <w:pPr>
              <w:pStyle w:val="10"/>
              <w:rPr>
                <w:color w:val="auto"/>
              </w:rPr>
            </w:pPr>
            <w:r>
              <w:rPr>
                <w:rFonts w:hint="eastAsia"/>
                <w:color w:val="auto"/>
              </w:rPr>
              <w:t>相关条款</w:t>
            </w:r>
          </w:p>
        </w:tc>
      </w:tr>
      <w:tr>
        <w:tblPrEx>
          <w:tblLayout w:type="fixed"/>
          <w:tblCellMar>
            <w:top w:w="57" w:type="dxa"/>
            <w:left w:w="57" w:type="dxa"/>
            <w:bottom w:w="57" w:type="dxa"/>
            <w:right w:w="57" w:type="dxa"/>
          </w:tblCellMar>
        </w:tblPrEx>
        <w:trPr>
          <w:trHeight w:val="1049" w:hRule="atLeast"/>
        </w:trPr>
        <w:tc>
          <w:tcPr>
            <w:tcW w:w="626"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3968"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《行政许可法》</w:t>
            </w:r>
          </w:p>
        </w:tc>
        <w:tc>
          <w:tcPr>
            <w:tcW w:w="9498" w:type="dxa"/>
            <w:tcBorders>
              <w:top w:val="single" w:color="auto" w:sz="4" w:space="0"/>
              <w:left w:val="nil"/>
              <w:bottom w:val="nil"/>
              <w:right w:val="single" w:color="auto" w:sz="4" w:space="0"/>
            </w:tcBorders>
            <w:shd w:val="clear" w:color="auto" w:fill="auto"/>
            <w:vAlign w:val="center"/>
          </w:tcPr>
          <w:p>
            <w:pPr>
              <w:pStyle w:val="12"/>
              <w:ind w:firstLine="360" w:firstLineChars="200"/>
              <w:rPr>
                <w:color w:val="auto"/>
              </w:rPr>
            </w:pPr>
            <w:r>
              <w:rPr>
                <w:rFonts w:hint="eastAsia"/>
                <w:bCs/>
                <w:color w:val="auto"/>
              </w:rPr>
              <w:t xml:space="preserve">第七十七条 </w:t>
            </w:r>
            <w:r>
              <w:rPr>
                <w:rFonts w:hint="eastAsia"/>
                <w:color w:val="auto"/>
              </w:rPr>
              <w:t>行政机关不依法履行监督职责或者监督不力，造成严重后果的，由其上级行政机关或者监察机关责令改正，对直接负责的主管人员和其他直接责任人员依法给予行政处分；构成犯罪的，依法追究刑事责任。</w:t>
            </w:r>
          </w:p>
        </w:tc>
      </w:tr>
      <w:tr>
        <w:tblPrEx>
          <w:tblLayout w:type="fixed"/>
          <w:tblCellMar>
            <w:top w:w="57" w:type="dxa"/>
            <w:left w:w="57" w:type="dxa"/>
            <w:bottom w:w="57" w:type="dxa"/>
            <w:right w:w="57" w:type="dxa"/>
          </w:tblCellMar>
        </w:tblPrEx>
        <w:trPr>
          <w:trHeight w:val="1049" w:hRule="atLeast"/>
        </w:trPr>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w:t>
            </w:r>
          </w:p>
        </w:tc>
        <w:tc>
          <w:tcPr>
            <w:tcW w:w="39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《行政处罚法》</w:t>
            </w:r>
          </w:p>
        </w:tc>
        <w:tc>
          <w:tcPr>
            <w:tcW w:w="9498" w:type="dxa"/>
            <w:tcBorders>
              <w:top w:val="single" w:color="auto" w:sz="4" w:space="0"/>
              <w:left w:val="nil"/>
              <w:bottom w:val="single" w:color="auto" w:sz="4" w:space="0"/>
              <w:right w:val="single" w:color="auto" w:sz="4" w:space="0"/>
            </w:tcBorders>
            <w:shd w:val="clear" w:color="auto" w:fill="auto"/>
            <w:vAlign w:val="center"/>
          </w:tcPr>
          <w:p>
            <w:pPr>
              <w:pStyle w:val="12"/>
              <w:ind w:firstLine="360" w:firstLineChars="200"/>
              <w:rPr>
                <w:color w:val="auto"/>
              </w:rPr>
            </w:pPr>
            <w:r>
              <w:rPr>
                <w:rFonts w:hint="eastAsia"/>
                <w:bCs/>
                <w:color w:val="auto"/>
              </w:rPr>
              <w:t>第五十五条</w:t>
            </w:r>
            <w:r>
              <w:rPr>
                <w:rFonts w:hint="eastAsia"/>
                <w:color w:val="auto"/>
              </w:rPr>
              <w:t xml:space="preserve"> 行政机关实施行政处罚，有下列情形之一的，由上级行政机关或者有关部门责令改正，可以对直接负责的主管人员和其他直接责任人员依法给予行政处分：</w:t>
            </w:r>
            <w:r>
              <w:rPr>
                <w:rFonts w:hint="eastAsia"/>
                <w:color w:val="auto"/>
              </w:rPr>
              <w:br w:type="textWrapping"/>
            </w:r>
            <w:r>
              <w:rPr>
                <w:rFonts w:hint="eastAsia"/>
                <w:color w:val="auto"/>
              </w:rPr>
              <w:t>　　（一）没有法定的行政处罚依据的；（二）擅自改变行政处罚种类、幅度的；（三）违反法定的行政处罚程序的；（四）违反本法第十八条关于委托处罚的规定的。</w:t>
            </w:r>
          </w:p>
        </w:tc>
      </w:tr>
      <w:tr>
        <w:tblPrEx>
          <w:tblLayout w:type="fixed"/>
          <w:tblCellMar>
            <w:top w:w="57" w:type="dxa"/>
            <w:left w:w="57" w:type="dxa"/>
            <w:bottom w:w="57" w:type="dxa"/>
            <w:right w:w="57" w:type="dxa"/>
          </w:tblCellMar>
        </w:tblPrEx>
        <w:trPr>
          <w:trHeight w:val="1049" w:hRule="atLeast"/>
        </w:trPr>
        <w:tc>
          <w:tcPr>
            <w:tcW w:w="6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《行政处罚法》</w:t>
            </w:r>
          </w:p>
        </w:tc>
        <w:tc>
          <w:tcPr>
            <w:tcW w:w="9498" w:type="dxa"/>
            <w:tcBorders>
              <w:top w:val="nil"/>
              <w:left w:val="nil"/>
              <w:bottom w:val="single" w:color="auto" w:sz="4" w:space="0"/>
              <w:right w:val="single" w:color="auto" w:sz="4" w:space="0"/>
            </w:tcBorders>
            <w:shd w:val="clear" w:color="auto" w:fill="auto"/>
            <w:vAlign w:val="center"/>
          </w:tcPr>
          <w:p>
            <w:pPr>
              <w:pStyle w:val="12"/>
              <w:ind w:firstLine="360" w:firstLineChars="200"/>
              <w:rPr>
                <w:color w:val="auto"/>
              </w:rPr>
            </w:pPr>
            <w:r>
              <w:rPr>
                <w:rFonts w:hint="eastAsia"/>
                <w:bCs/>
                <w:color w:val="auto"/>
              </w:rPr>
              <w:t>第五十六条</w:t>
            </w:r>
            <w:r>
              <w:rPr>
                <w:rFonts w:hint="eastAsia"/>
                <w:color w:val="auto"/>
              </w:rPr>
              <w:t>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p>
        </w:tc>
      </w:tr>
      <w:tr>
        <w:tblPrEx>
          <w:tblLayout w:type="fixed"/>
          <w:tblCellMar>
            <w:top w:w="57" w:type="dxa"/>
            <w:left w:w="57" w:type="dxa"/>
            <w:bottom w:w="57" w:type="dxa"/>
            <w:right w:w="57" w:type="dxa"/>
          </w:tblCellMar>
        </w:tblPrEx>
        <w:trPr>
          <w:trHeight w:val="1049" w:hRule="atLeast"/>
        </w:trPr>
        <w:tc>
          <w:tcPr>
            <w:tcW w:w="6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9</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《行政处罚法》</w:t>
            </w:r>
          </w:p>
        </w:tc>
        <w:tc>
          <w:tcPr>
            <w:tcW w:w="9498" w:type="dxa"/>
            <w:tcBorders>
              <w:top w:val="nil"/>
              <w:left w:val="nil"/>
              <w:bottom w:val="single" w:color="auto" w:sz="4" w:space="0"/>
              <w:right w:val="single" w:color="auto" w:sz="4" w:space="0"/>
            </w:tcBorders>
            <w:shd w:val="clear" w:color="auto" w:fill="auto"/>
            <w:vAlign w:val="center"/>
          </w:tcPr>
          <w:p>
            <w:pPr>
              <w:pStyle w:val="12"/>
              <w:ind w:firstLine="360" w:firstLineChars="200"/>
              <w:rPr>
                <w:color w:val="auto"/>
              </w:rPr>
            </w:pPr>
            <w:r>
              <w:rPr>
                <w:rFonts w:hint="eastAsia"/>
                <w:bCs/>
                <w:color w:val="auto"/>
              </w:rPr>
              <w:t>第五十七条</w:t>
            </w:r>
            <w:r>
              <w:rPr>
                <w:rFonts w:hint="eastAsia"/>
                <w:color w:val="auto"/>
              </w:rPr>
              <w:t xml:space="preserve"> 行政机关违反本法第四十六条规定自行收缴罚款的，财政部门违反本法第五十三条规定向行政机关返还罚款或者拍卖款项的，由上级行政机关或者有关部门责令改正，对直接负责的主管人员和其他直接责任人员依法给予行政处分。</w:t>
            </w:r>
          </w:p>
        </w:tc>
      </w:tr>
      <w:tr>
        <w:tblPrEx>
          <w:tblLayout w:type="fixed"/>
          <w:tblCellMar>
            <w:top w:w="57" w:type="dxa"/>
            <w:left w:w="57" w:type="dxa"/>
            <w:bottom w:w="57" w:type="dxa"/>
            <w:right w:w="57" w:type="dxa"/>
          </w:tblCellMar>
        </w:tblPrEx>
        <w:trPr>
          <w:trHeight w:val="1049" w:hRule="atLeast"/>
        </w:trPr>
        <w:tc>
          <w:tcPr>
            <w:tcW w:w="6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《行政处罚法》</w:t>
            </w:r>
          </w:p>
        </w:tc>
        <w:tc>
          <w:tcPr>
            <w:tcW w:w="9498" w:type="dxa"/>
            <w:tcBorders>
              <w:top w:val="nil"/>
              <w:left w:val="nil"/>
              <w:bottom w:val="single" w:color="auto" w:sz="4" w:space="0"/>
              <w:right w:val="single" w:color="auto" w:sz="4" w:space="0"/>
            </w:tcBorders>
            <w:shd w:val="clear" w:color="auto" w:fill="auto"/>
            <w:vAlign w:val="center"/>
          </w:tcPr>
          <w:p>
            <w:pPr>
              <w:pStyle w:val="12"/>
              <w:ind w:firstLine="360" w:firstLineChars="200"/>
              <w:rPr>
                <w:color w:val="auto"/>
              </w:rPr>
            </w:pPr>
            <w:r>
              <w:rPr>
                <w:rFonts w:hint="eastAsia"/>
                <w:bCs/>
                <w:color w:val="auto"/>
              </w:rPr>
              <w:t>第五十八条</w:t>
            </w:r>
            <w:r>
              <w:rPr>
                <w:rFonts w:hint="eastAsia"/>
                <w:color w:val="auto"/>
              </w:rPr>
              <w:t xml:space="preserve"> 行政机关将罚款、没收的违法所得或者财物截留、私分或者变相私分的，由财政部门或者有关部门予以追缴，对直接负责的主管人员和其他直接责任人员依法给予行政处分；情节严重构成犯罪的，依法追究刑事责任。</w:t>
            </w:r>
            <w:r>
              <w:rPr>
                <w:rFonts w:hint="eastAsia"/>
                <w:color w:val="auto"/>
              </w:rPr>
              <w:br w:type="textWrapping"/>
            </w:r>
            <w:r>
              <w:rPr>
                <w:rFonts w:hint="eastAsia"/>
                <w:color w:val="auto"/>
              </w:rPr>
              <w:t>　　执法人员利用职务上的便利，索取或者收受他人财物、收缴罚款据为己有，构成犯罪的，依法追究刑事责任；情节轻微不构成犯罪的，依法给予行政处分。</w:t>
            </w:r>
          </w:p>
        </w:tc>
      </w:tr>
      <w:tr>
        <w:tblPrEx>
          <w:tblLayout w:type="fixed"/>
          <w:tblCellMar>
            <w:top w:w="57" w:type="dxa"/>
            <w:left w:w="57" w:type="dxa"/>
            <w:bottom w:w="57" w:type="dxa"/>
            <w:right w:w="57" w:type="dxa"/>
          </w:tblCellMar>
        </w:tblPrEx>
        <w:trPr>
          <w:trHeight w:val="1049" w:hRule="atLeast"/>
        </w:trPr>
        <w:tc>
          <w:tcPr>
            <w:tcW w:w="6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11</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《行政处罚法》</w:t>
            </w:r>
          </w:p>
        </w:tc>
        <w:tc>
          <w:tcPr>
            <w:tcW w:w="9498" w:type="dxa"/>
            <w:tcBorders>
              <w:top w:val="nil"/>
              <w:left w:val="nil"/>
              <w:bottom w:val="single" w:color="auto" w:sz="4" w:space="0"/>
              <w:right w:val="single" w:color="auto" w:sz="4" w:space="0"/>
            </w:tcBorders>
            <w:shd w:val="clear" w:color="auto" w:fill="auto"/>
            <w:vAlign w:val="center"/>
          </w:tcPr>
          <w:p>
            <w:pPr>
              <w:pStyle w:val="12"/>
              <w:rPr>
                <w:bCs/>
                <w:color w:val="auto"/>
              </w:rPr>
            </w:pPr>
            <w:r>
              <w:rPr>
                <w:rFonts w:hint="eastAsia"/>
                <w:bCs/>
                <w:color w:val="auto"/>
              </w:rPr>
              <w:t xml:space="preserve">    第五十九条</w:t>
            </w:r>
            <w:r>
              <w:rPr>
                <w:rFonts w:hint="eastAsia"/>
                <w:color w:val="auto"/>
              </w:rPr>
              <w:t xml:space="preserve"> 行政机关使用或者损毁扣押的财物，对当事人造成损失的，应当依法予以赔偿，对直接负责的主管人员和其他直接责任人员依法给予行政处分。</w:t>
            </w:r>
          </w:p>
        </w:tc>
      </w:tr>
      <w:tr>
        <w:tblPrEx>
          <w:tblLayout w:type="fixed"/>
          <w:tblCellMar>
            <w:top w:w="57" w:type="dxa"/>
            <w:left w:w="57" w:type="dxa"/>
            <w:bottom w:w="57" w:type="dxa"/>
            <w:right w:w="57" w:type="dxa"/>
          </w:tblCellMar>
        </w:tblPrEx>
        <w:trPr>
          <w:trHeight w:val="1049" w:hRule="atLeast"/>
        </w:trPr>
        <w:tc>
          <w:tcPr>
            <w:tcW w:w="6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《行政处罚法》</w:t>
            </w:r>
          </w:p>
        </w:tc>
        <w:tc>
          <w:tcPr>
            <w:tcW w:w="9498" w:type="dxa"/>
            <w:tcBorders>
              <w:top w:val="nil"/>
              <w:left w:val="nil"/>
              <w:bottom w:val="single" w:color="auto" w:sz="4" w:space="0"/>
              <w:right w:val="single" w:color="auto" w:sz="4" w:space="0"/>
            </w:tcBorders>
            <w:shd w:val="clear" w:color="auto" w:fill="auto"/>
            <w:vAlign w:val="center"/>
          </w:tcPr>
          <w:p>
            <w:pPr>
              <w:pStyle w:val="12"/>
              <w:ind w:firstLine="360" w:firstLineChars="200"/>
              <w:rPr>
                <w:color w:val="auto"/>
              </w:rPr>
            </w:pPr>
            <w:r>
              <w:rPr>
                <w:rFonts w:hint="eastAsia"/>
                <w:bCs/>
                <w:color w:val="auto"/>
              </w:rPr>
              <w:t>第六十条</w:t>
            </w:r>
            <w:r>
              <w:rPr>
                <w:rFonts w:hint="eastAsia"/>
                <w:color w:val="auto"/>
              </w:rPr>
              <w:t xml:space="preserve">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tc>
      </w:tr>
      <w:tr>
        <w:tblPrEx>
          <w:tblLayout w:type="fixed"/>
          <w:tblCellMar>
            <w:top w:w="57" w:type="dxa"/>
            <w:left w:w="57" w:type="dxa"/>
            <w:bottom w:w="57" w:type="dxa"/>
            <w:right w:w="57" w:type="dxa"/>
          </w:tblCellMar>
        </w:tblPrEx>
        <w:trPr>
          <w:trHeight w:val="1020" w:hRule="atLeast"/>
        </w:trPr>
        <w:tc>
          <w:tcPr>
            <w:tcW w:w="6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13</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《行政处罚法》</w:t>
            </w:r>
          </w:p>
        </w:tc>
        <w:tc>
          <w:tcPr>
            <w:tcW w:w="9498" w:type="dxa"/>
            <w:tcBorders>
              <w:top w:val="nil"/>
              <w:left w:val="nil"/>
              <w:bottom w:val="single" w:color="auto" w:sz="4" w:space="0"/>
              <w:right w:val="single" w:color="auto" w:sz="4" w:space="0"/>
            </w:tcBorders>
            <w:shd w:val="clear" w:color="auto" w:fill="auto"/>
            <w:vAlign w:val="center"/>
          </w:tcPr>
          <w:p>
            <w:pPr>
              <w:pStyle w:val="12"/>
              <w:ind w:firstLine="360" w:firstLineChars="200"/>
              <w:rPr>
                <w:color w:val="auto"/>
              </w:rPr>
            </w:pPr>
            <w:r>
              <w:rPr>
                <w:rFonts w:hint="eastAsia"/>
                <w:bCs/>
                <w:color w:val="auto"/>
              </w:rPr>
              <w:t>第六十一条</w:t>
            </w:r>
            <w:r>
              <w:rPr>
                <w:rFonts w:hint="eastAsia"/>
                <w:color w:val="auto"/>
              </w:rPr>
              <w:t xml:space="preserve">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tc>
      </w:tr>
      <w:tr>
        <w:tblPrEx>
          <w:tblLayout w:type="fixed"/>
          <w:tblCellMar>
            <w:top w:w="57" w:type="dxa"/>
            <w:left w:w="57" w:type="dxa"/>
            <w:bottom w:w="57" w:type="dxa"/>
            <w:right w:w="57" w:type="dxa"/>
          </w:tblCellMar>
        </w:tblPrEx>
        <w:trPr>
          <w:trHeight w:val="1020" w:hRule="atLeast"/>
        </w:trPr>
        <w:tc>
          <w:tcPr>
            <w:tcW w:w="6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14</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《行政处罚法》</w:t>
            </w:r>
          </w:p>
        </w:tc>
        <w:tc>
          <w:tcPr>
            <w:tcW w:w="9498" w:type="dxa"/>
            <w:tcBorders>
              <w:top w:val="nil"/>
              <w:left w:val="nil"/>
              <w:bottom w:val="single" w:color="auto" w:sz="4" w:space="0"/>
              <w:right w:val="single" w:color="auto" w:sz="4" w:space="0"/>
            </w:tcBorders>
            <w:shd w:val="clear" w:color="auto" w:fill="auto"/>
            <w:vAlign w:val="center"/>
          </w:tcPr>
          <w:p>
            <w:pPr>
              <w:pStyle w:val="12"/>
              <w:ind w:firstLine="360" w:firstLineChars="200"/>
              <w:rPr>
                <w:color w:val="auto"/>
              </w:rPr>
            </w:pPr>
            <w:r>
              <w:rPr>
                <w:rFonts w:hint="eastAsia"/>
                <w:bCs/>
                <w:color w:val="auto"/>
              </w:rPr>
              <w:t>第六十二条</w:t>
            </w:r>
            <w:r>
              <w:rPr>
                <w:rFonts w:hint="eastAsia"/>
                <w:color w:val="auto"/>
              </w:rPr>
              <w:t xml:space="preserve">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r>
      <w:tr>
        <w:tblPrEx>
          <w:tblLayout w:type="fixed"/>
          <w:tblCellMar>
            <w:top w:w="57" w:type="dxa"/>
            <w:left w:w="57" w:type="dxa"/>
            <w:bottom w:w="57" w:type="dxa"/>
            <w:right w:w="57" w:type="dxa"/>
          </w:tblCellMar>
        </w:tblPrEx>
        <w:trPr>
          <w:trHeight w:val="2001" w:hRule="atLeast"/>
        </w:trPr>
        <w:tc>
          <w:tcPr>
            <w:tcW w:w="6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《行政强制法》</w:t>
            </w:r>
          </w:p>
        </w:tc>
        <w:tc>
          <w:tcPr>
            <w:tcW w:w="9498" w:type="dxa"/>
            <w:tcBorders>
              <w:top w:val="nil"/>
              <w:left w:val="nil"/>
              <w:bottom w:val="single" w:color="auto" w:sz="4" w:space="0"/>
              <w:right w:val="single" w:color="auto" w:sz="4" w:space="0"/>
            </w:tcBorders>
            <w:shd w:val="clear" w:color="auto" w:fill="auto"/>
            <w:vAlign w:val="center"/>
          </w:tcPr>
          <w:p>
            <w:pPr>
              <w:pStyle w:val="12"/>
              <w:rPr>
                <w:color w:val="auto"/>
              </w:rPr>
            </w:pPr>
            <w:r>
              <w:rPr>
                <w:rFonts w:hint="eastAsia"/>
                <w:bCs/>
                <w:color w:val="auto"/>
              </w:rPr>
              <w:t xml:space="preserve">    第六十一条</w:t>
            </w:r>
            <w:r>
              <w:rPr>
                <w:rFonts w:hint="eastAsia"/>
                <w:color w:val="auto"/>
              </w:rPr>
              <w:t>　行政机关实施行政强制，有下列情形之一的，由上级行政机关或者有关部门责令改正，对直接负责的主管人员和其他直接责任人员依法给予处分：</w:t>
            </w:r>
            <w:r>
              <w:rPr>
                <w:rFonts w:hint="eastAsia"/>
                <w:color w:val="auto"/>
              </w:rPr>
              <w:br w:type="textWrapping"/>
            </w:r>
            <w:r>
              <w:rPr>
                <w:rFonts w:hint="eastAsia"/>
                <w:color w:val="auto"/>
              </w:rPr>
              <w:t>　　（一）没有法律、法规依据的；</w:t>
            </w:r>
            <w:r>
              <w:rPr>
                <w:rFonts w:hint="eastAsia"/>
                <w:color w:val="auto"/>
              </w:rPr>
              <w:br w:type="textWrapping"/>
            </w:r>
            <w:r>
              <w:rPr>
                <w:rFonts w:hint="eastAsia"/>
                <w:color w:val="auto"/>
              </w:rPr>
              <w:t>　　（二）改变行政强制对象、条件、方式的；</w:t>
            </w:r>
            <w:r>
              <w:rPr>
                <w:rFonts w:hint="eastAsia"/>
                <w:color w:val="auto"/>
              </w:rPr>
              <w:br w:type="textWrapping"/>
            </w:r>
            <w:r>
              <w:rPr>
                <w:rFonts w:hint="eastAsia"/>
                <w:color w:val="auto"/>
              </w:rPr>
              <w:t>　　（三）违反法定程序实施行政强制的；</w:t>
            </w:r>
            <w:r>
              <w:rPr>
                <w:rFonts w:hint="eastAsia"/>
                <w:color w:val="auto"/>
              </w:rPr>
              <w:br w:type="textWrapping"/>
            </w:r>
            <w:r>
              <w:rPr>
                <w:rFonts w:hint="eastAsia"/>
                <w:color w:val="auto"/>
              </w:rPr>
              <w:t>　　（四）违反本法规定，在夜间或者法定节假日实施行政强制执行的；</w:t>
            </w:r>
            <w:r>
              <w:rPr>
                <w:rFonts w:hint="eastAsia"/>
                <w:color w:val="auto"/>
              </w:rPr>
              <w:br w:type="textWrapping"/>
            </w:r>
            <w:r>
              <w:rPr>
                <w:rFonts w:hint="eastAsia"/>
                <w:color w:val="auto"/>
              </w:rPr>
              <w:t>　　（五）对居民生活采取停止供水、供电、供热、供燃气等方式迫使当事人履行相关行政决定的；</w:t>
            </w:r>
            <w:r>
              <w:rPr>
                <w:rFonts w:hint="eastAsia"/>
                <w:color w:val="auto"/>
              </w:rPr>
              <w:br w:type="textWrapping"/>
            </w:r>
            <w:r>
              <w:rPr>
                <w:rFonts w:hint="eastAsia"/>
                <w:color w:val="auto"/>
              </w:rPr>
              <w:t>　　（六）有其他违法实施行政强制情形的。</w:t>
            </w:r>
          </w:p>
        </w:tc>
      </w:tr>
      <w:tr>
        <w:tblPrEx>
          <w:tblLayout w:type="fixed"/>
          <w:tblCellMar>
            <w:top w:w="57" w:type="dxa"/>
            <w:left w:w="57" w:type="dxa"/>
            <w:bottom w:w="57" w:type="dxa"/>
            <w:right w:w="57" w:type="dxa"/>
          </w:tblCellMar>
        </w:tblPrEx>
        <w:trPr>
          <w:trHeight w:val="1641" w:hRule="atLeast"/>
        </w:trPr>
        <w:tc>
          <w:tcPr>
            <w:tcW w:w="6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16</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《行政强制法》</w:t>
            </w:r>
          </w:p>
        </w:tc>
        <w:tc>
          <w:tcPr>
            <w:tcW w:w="9498" w:type="dxa"/>
            <w:tcBorders>
              <w:top w:val="nil"/>
              <w:left w:val="nil"/>
              <w:bottom w:val="single" w:color="auto" w:sz="4" w:space="0"/>
              <w:right w:val="single" w:color="auto" w:sz="4" w:space="0"/>
            </w:tcBorders>
            <w:shd w:val="clear" w:color="auto" w:fill="auto"/>
            <w:vAlign w:val="center"/>
          </w:tcPr>
          <w:p>
            <w:pPr>
              <w:pStyle w:val="12"/>
              <w:rPr>
                <w:color w:val="auto"/>
              </w:rPr>
            </w:pPr>
            <w:r>
              <w:rPr>
                <w:rFonts w:hint="eastAsia"/>
                <w:color w:val="auto"/>
              </w:rPr>
              <w:t>　　</w:t>
            </w:r>
            <w:r>
              <w:rPr>
                <w:rFonts w:hint="eastAsia"/>
                <w:bCs/>
                <w:color w:val="auto"/>
              </w:rPr>
              <w:t>第六十二条</w:t>
            </w:r>
            <w:r>
              <w:rPr>
                <w:rFonts w:hint="eastAsia"/>
                <w:color w:val="auto"/>
              </w:rPr>
              <w:t>　违反本法规定，行政机关有下列情形之一的，由上级行政机关或者有关部门责令改正，对直接负责的主管人员和其他直接责任人员依法给予处分：</w:t>
            </w:r>
            <w:r>
              <w:rPr>
                <w:rFonts w:hint="eastAsia"/>
                <w:color w:val="auto"/>
              </w:rPr>
              <w:br w:type="textWrapping"/>
            </w:r>
            <w:r>
              <w:rPr>
                <w:rFonts w:hint="eastAsia"/>
                <w:color w:val="auto"/>
              </w:rPr>
              <w:t>　　（一）扩大查封、扣押、冻结范围的；</w:t>
            </w:r>
            <w:r>
              <w:rPr>
                <w:rFonts w:hint="eastAsia"/>
                <w:color w:val="auto"/>
              </w:rPr>
              <w:br w:type="textWrapping"/>
            </w:r>
            <w:r>
              <w:rPr>
                <w:rFonts w:hint="eastAsia"/>
                <w:color w:val="auto"/>
              </w:rPr>
              <w:t>　　（二）使用或者损毁查封、扣押场所、设施或者财物的；</w:t>
            </w:r>
            <w:r>
              <w:rPr>
                <w:rFonts w:hint="eastAsia"/>
                <w:color w:val="auto"/>
              </w:rPr>
              <w:br w:type="textWrapping"/>
            </w:r>
            <w:r>
              <w:rPr>
                <w:rFonts w:hint="eastAsia"/>
                <w:color w:val="auto"/>
              </w:rPr>
              <w:t>　　（三）在查封、扣押法定期间不作出处理决定或者未依法及时解除查封、扣押的；</w:t>
            </w:r>
            <w:r>
              <w:rPr>
                <w:rFonts w:hint="eastAsia"/>
                <w:color w:val="auto"/>
              </w:rPr>
              <w:br w:type="textWrapping"/>
            </w:r>
            <w:r>
              <w:rPr>
                <w:rFonts w:hint="eastAsia"/>
                <w:color w:val="auto"/>
              </w:rPr>
              <w:t>　　（四）在冻结存款、汇款法定期间不作出处理决定或者未依法及时解除冻结的。</w:t>
            </w:r>
          </w:p>
        </w:tc>
      </w:tr>
      <w:tr>
        <w:tblPrEx>
          <w:tblLayout w:type="fixed"/>
          <w:tblCellMar>
            <w:top w:w="57" w:type="dxa"/>
            <w:left w:w="57" w:type="dxa"/>
            <w:bottom w:w="57" w:type="dxa"/>
            <w:right w:w="57" w:type="dxa"/>
          </w:tblCellMar>
        </w:tblPrEx>
        <w:trPr>
          <w:trHeight w:val="1161" w:hRule="atLeast"/>
        </w:trPr>
        <w:tc>
          <w:tcPr>
            <w:tcW w:w="6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17</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《行政强制法》</w:t>
            </w:r>
          </w:p>
        </w:tc>
        <w:tc>
          <w:tcPr>
            <w:tcW w:w="9498" w:type="dxa"/>
            <w:tcBorders>
              <w:top w:val="nil"/>
              <w:left w:val="nil"/>
              <w:bottom w:val="single" w:color="auto" w:sz="4" w:space="0"/>
              <w:right w:val="single" w:color="auto" w:sz="4" w:space="0"/>
            </w:tcBorders>
            <w:shd w:val="clear" w:color="auto" w:fill="auto"/>
            <w:vAlign w:val="center"/>
          </w:tcPr>
          <w:p>
            <w:pPr>
              <w:pStyle w:val="12"/>
              <w:ind w:firstLine="360" w:firstLineChars="200"/>
              <w:rPr>
                <w:color w:val="auto"/>
              </w:rPr>
            </w:pPr>
            <w:r>
              <w:rPr>
                <w:rFonts w:hint="eastAsia"/>
                <w:bCs/>
                <w:color w:val="auto"/>
              </w:rPr>
              <w:t>第六十三条</w:t>
            </w:r>
            <w:r>
              <w:rPr>
                <w:rFonts w:hint="eastAsia"/>
                <w:color w:val="auto"/>
              </w:rPr>
              <w:t>　行政机关将查封、扣押的财物或者划拨的存款、汇款以及拍卖和依法处理所得的款项，截留、私分或者变相私分的，由财政部门或者有关部门予以追缴；对直接负责的主管人员和其他直接责任人员依法给予记大过、降级、撤职或者开除的处分。</w:t>
            </w:r>
            <w:r>
              <w:rPr>
                <w:rFonts w:hint="eastAsia"/>
                <w:color w:val="auto"/>
              </w:rPr>
              <w:br w:type="textWrapping"/>
            </w:r>
            <w:r>
              <w:rPr>
                <w:rFonts w:hint="eastAsia"/>
                <w:color w:val="auto"/>
              </w:rPr>
              <w:t>　　行政机关工作人员利用职务上的便利，将查封、扣押的场所、设施或者财物据为己有的，由上级行政机关或者有关部门责令改正，依法给予记大过、降级、撤职或者开除的处分。</w:t>
            </w:r>
          </w:p>
        </w:tc>
      </w:tr>
      <w:tr>
        <w:tblPrEx>
          <w:tblLayout w:type="fixed"/>
          <w:tblCellMar>
            <w:top w:w="57" w:type="dxa"/>
            <w:left w:w="57" w:type="dxa"/>
            <w:bottom w:w="57" w:type="dxa"/>
            <w:right w:w="57" w:type="dxa"/>
          </w:tblCellMar>
        </w:tblPrEx>
        <w:trPr>
          <w:trHeight w:val="680" w:hRule="atLeast"/>
        </w:trPr>
        <w:tc>
          <w:tcPr>
            <w:tcW w:w="6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18</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《行政强制法》</w:t>
            </w:r>
          </w:p>
        </w:tc>
        <w:tc>
          <w:tcPr>
            <w:tcW w:w="9498" w:type="dxa"/>
            <w:tcBorders>
              <w:top w:val="nil"/>
              <w:left w:val="nil"/>
              <w:bottom w:val="single" w:color="auto" w:sz="4" w:space="0"/>
              <w:right w:val="single" w:color="auto" w:sz="4" w:space="0"/>
            </w:tcBorders>
            <w:shd w:val="clear" w:color="auto" w:fill="auto"/>
            <w:vAlign w:val="center"/>
          </w:tcPr>
          <w:p>
            <w:pPr>
              <w:pStyle w:val="12"/>
              <w:ind w:firstLine="360" w:firstLineChars="200"/>
              <w:rPr>
                <w:color w:val="auto"/>
              </w:rPr>
            </w:pPr>
            <w:r>
              <w:rPr>
                <w:rFonts w:hint="eastAsia"/>
                <w:bCs/>
                <w:color w:val="auto"/>
              </w:rPr>
              <w:t>第六十四条</w:t>
            </w:r>
            <w:r>
              <w:rPr>
                <w:rFonts w:hint="eastAsia"/>
                <w:color w:val="auto"/>
              </w:rPr>
              <w:t>　行政机关及其工作人员利用行政强制权为单位或者个人谋取利益的，由上级行政机关或者有关部门责令改正，对直接负责的主管人员和其他直接责任人员依法给予处分。</w:t>
            </w:r>
          </w:p>
        </w:tc>
      </w:tr>
      <w:tr>
        <w:tblPrEx>
          <w:tblLayout w:type="fixed"/>
          <w:tblCellMar>
            <w:top w:w="57" w:type="dxa"/>
            <w:left w:w="57" w:type="dxa"/>
            <w:bottom w:w="57" w:type="dxa"/>
            <w:right w:w="57" w:type="dxa"/>
          </w:tblCellMar>
        </w:tblPrEx>
        <w:trPr>
          <w:trHeight w:val="737" w:hRule="atLeast"/>
        </w:trPr>
        <w:tc>
          <w:tcPr>
            <w:tcW w:w="6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19</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《行政强制法》</w:t>
            </w:r>
          </w:p>
        </w:tc>
        <w:tc>
          <w:tcPr>
            <w:tcW w:w="9498" w:type="dxa"/>
            <w:tcBorders>
              <w:top w:val="nil"/>
              <w:left w:val="nil"/>
              <w:bottom w:val="single" w:color="auto" w:sz="4" w:space="0"/>
              <w:right w:val="single" w:color="auto" w:sz="4" w:space="0"/>
            </w:tcBorders>
            <w:shd w:val="clear" w:color="auto" w:fill="auto"/>
            <w:vAlign w:val="center"/>
          </w:tcPr>
          <w:p>
            <w:pPr>
              <w:pStyle w:val="12"/>
              <w:ind w:firstLine="360" w:firstLineChars="200"/>
              <w:rPr>
                <w:color w:val="auto"/>
              </w:rPr>
            </w:pPr>
            <w:r>
              <w:rPr>
                <w:rFonts w:hint="eastAsia"/>
                <w:color w:val="auto"/>
              </w:rPr>
              <w:t>第六十八条　违反本法规定，给公民、法人或者其他组织造成损失的，依法给予赔偿。</w:t>
            </w:r>
            <w:r>
              <w:rPr>
                <w:rFonts w:hint="eastAsia"/>
                <w:color w:val="auto"/>
              </w:rPr>
              <w:br w:type="textWrapping"/>
            </w:r>
            <w:r>
              <w:rPr>
                <w:rFonts w:hint="eastAsia"/>
                <w:color w:val="auto"/>
              </w:rPr>
              <w:t>　　违反本法规定，构成犯罪的，依法追究刑事责任。</w:t>
            </w:r>
          </w:p>
        </w:tc>
      </w:tr>
      <w:tr>
        <w:tblPrEx>
          <w:tblLayout w:type="fixed"/>
          <w:tblCellMar>
            <w:top w:w="57" w:type="dxa"/>
            <w:left w:w="57" w:type="dxa"/>
            <w:bottom w:w="57" w:type="dxa"/>
            <w:right w:w="57" w:type="dxa"/>
          </w:tblCellMar>
        </w:tblPrEx>
        <w:trPr>
          <w:trHeight w:val="861" w:hRule="atLeast"/>
        </w:trPr>
        <w:tc>
          <w:tcPr>
            <w:tcW w:w="6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《刑法》</w:t>
            </w:r>
          </w:p>
        </w:tc>
        <w:tc>
          <w:tcPr>
            <w:tcW w:w="9498" w:type="dxa"/>
            <w:tcBorders>
              <w:top w:val="nil"/>
              <w:left w:val="nil"/>
              <w:bottom w:val="single" w:color="auto" w:sz="4" w:space="0"/>
              <w:right w:val="single" w:color="auto" w:sz="4" w:space="0"/>
            </w:tcBorders>
            <w:shd w:val="clear" w:color="auto" w:fill="auto"/>
            <w:vAlign w:val="center"/>
          </w:tcPr>
          <w:p>
            <w:pPr>
              <w:pStyle w:val="12"/>
              <w:ind w:firstLine="360" w:firstLineChars="200"/>
              <w:rPr>
                <w:color w:val="auto"/>
              </w:rPr>
            </w:pPr>
            <w:r>
              <w:rPr>
                <w:rFonts w:hint="eastAsia"/>
                <w:bCs/>
                <w:color w:val="auto"/>
              </w:rPr>
              <w:t>第三百八十五条</w:t>
            </w:r>
            <w:r>
              <w:rPr>
                <w:rFonts w:hint="eastAsia"/>
                <w:color w:val="auto"/>
              </w:rPr>
              <w:t>　【受贿罪】国家工作人员利用职务上的便利，索取他人财物的，或者非法收受他人财物，为他人谋取利益的，是受贿罪。</w:t>
            </w:r>
            <w:r>
              <w:rPr>
                <w:rFonts w:hint="eastAsia"/>
                <w:color w:val="auto"/>
              </w:rPr>
              <w:br w:type="textWrapping"/>
            </w:r>
            <w:r>
              <w:rPr>
                <w:rFonts w:hint="eastAsia"/>
                <w:color w:val="auto"/>
              </w:rPr>
              <w:t>　　国家工作人员在经济往来中，违反国家规定，收受各种名义的回扣、手续费，归个人所有的，以受贿论处。</w:t>
            </w:r>
          </w:p>
        </w:tc>
      </w:tr>
      <w:tr>
        <w:tblPrEx>
          <w:tblLayout w:type="fixed"/>
          <w:tblCellMar>
            <w:top w:w="57" w:type="dxa"/>
            <w:left w:w="57" w:type="dxa"/>
            <w:bottom w:w="57" w:type="dxa"/>
            <w:right w:w="57" w:type="dxa"/>
          </w:tblCellMar>
        </w:tblPrEx>
        <w:trPr>
          <w:trHeight w:val="1080" w:hRule="atLeast"/>
        </w:trPr>
        <w:tc>
          <w:tcPr>
            <w:tcW w:w="6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21</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《刑法》</w:t>
            </w:r>
          </w:p>
        </w:tc>
        <w:tc>
          <w:tcPr>
            <w:tcW w:w="9498" w:type="dxa"/>
            <w:tcBorders>
              <w:top w:val="nil"/>
              <w:left w:val="nil"/>
              <w:bottom w:val="single" w:color="auto" w:sz="4" w:space="0"/>
              <w:right w:val="single" w:color="auto" w:sz="4" w:space="0"/>
            </w:tcBorders>
            <w:shd w:val="clear" w:color="auto" w:fill="auto"/>
            <w:vAlign w:val="center"/>
          </w:tcPr>
          <w:p>
            <w:pPr>
              <w:pStyle w:val="12"/>
              <w:ind w:firstLine="360" w:firstLineChars="200"/>
              <w:rPr>
                <w:color w:val="auto"/>
              </w:rPr>
            </w:pPr>
            <w:r>
              <w:rPr>
                <w:rFonts w:hint="eastAsia"/>
                <w:bCs/>
                <w:color w:val="auto"/>
              </w:rPr>
              <w:t>第三百九十七条</w:t>
            </w:r>
            <w:r>
              <w:rPr>
                <w:rFonts w:hint="eastAsia"/>
                <w:color w:val="auto"/>
              </w:rPr>
              <w:t>　【滥用职权罪；玩忽职守罪】国家机关工作人员滥用职权或者玩忽职守，致使公共财产、国家和人民利益遭受重大损失的，处三年以下有期徒刑或者拘役；情节特别严重的，处三年以上七年以下有期徒刑。本法另有规定的，依照规定。</w:t>
            </w:r>
            <w:r>
              <w:rPr>
                <w:rFonts w:hint="eastAsia"/>
                <w:color w:val="auto"/>
              </w:rPr>
              <w:br w:type="textWrapping"/>
            </w:r>
            <w:r>
              <w:rPr>
                <w:rFonts w:hint="eastAsia"/>
                <w:color w:val="auto"/>
              </w:rPr>
              <w:t>　　国家机关工作人员徇私舞弊，犯前款罪的，处五年以下有期徒刑或者拘役；情节特别严重的，处五年以上十年以下有期徒刑。本法另有规定的，依照规定。</w:t>
            </w:r>
          </w:p>
        </w:tc>
      </w:tr>
      <w:tr>
        <w:tblPrEx>
          <w:tblLayout w:type="fixed"/>
          <w:tblCellMar>
            <w:top w:w="57" w:type="dxa"/>
            <w:left w:w="57" w:type="dxa"/>
            <w:bottom w:w="57" w:type="dxa"/>
            <w:right w:w="57" w:type="dxa"/>
          </w:tblCellMar>
        </w:tblPrEx>
        <w:trPr>
          <w:trHeight w:val="2808" w:hRule="atLeast"/>
        </w:trPr>
        <w:tc>
          <w:tcPr>
            <w:tcW w:w="6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22</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《刑法》</w:t>
            </w:r>
          </w:p>
        </w:tc>
        <w:tc>
          <w:tcPr>
            <w:tcW w:w="9498" w:type="dxa"/>
            <w:tcBorders>
              <w:top w:val="nil"/>
              <w:left w:val="nil"/>
              <w:bottom w:val="single" w:color="auto" w:sz="4" w:space="0"/>
              <w:right w:val="single" w:color="auto" w:sz="4" w:space="0"/>
            </w:tcBorders>
            <w:shd w:val="clear" w:color="auto" w:fill="auto"/>
            <w:vAlign w:val="center"/>
          </w:tcPr>
          <w:p>
            <w:pPr>
              <w:pStyle w:val="12"/>
              <w:rPr>
                <w:color w:val="auto"/>
              </w:rPr>
            </w:pPr>
            <w:r>
              <w:rPr>
                <w:rFonts w:hint="eastAsia"/>
                <w:bCs/>
                <w:color w:val="auto"/>
              </w:rPr>
              <w:t xml:space="preserve">    第三百九十九条</w:t>
            </w:r>
            <w:r>
              <w:rPr>
                <w:rFonts w:hint="eastAsia"/>
                <w:color w:val="auto"/>
              </w:rPr>
              <w:t>　【徇私枉法罪；民事、行政枉法裁判罪；执行判决、裁定失职罪；执行判决、裁定滥用职权罪；枉法仲裁罪】司法工作人员徇私枉法、徇情枉法，对明知是无罪的人而使他受追诉、对明知是有罪的人而故意包庇不使他受追诉，或者在刑事审判活动中故意违背事实和法律作枉法裁判的，处五年以下有期徒刑或者拘役；情节严重的，处五年以上十年以下有期徒刑；情节特别严重的，处十年以上有期徒刑。</w:t>
            </w:r>
            <w:r>
              <w:rPr>
                <w:rFonts w:hint="eastAsia"/>
                <w:color w:val="auto"/>
              </w:rPr>
              <w:br w:type="textWrapping"/>
            </w:r>
            <w:r>
              <w:rPr>
                <w:rFonts w:hint="eastAsia"/>
                <w:color w:val="auto"/>
              </w:rPr>
              <w:t>　　在民事、行政审判活动中故意违背事实和法律作枉法裁判，情节严重的，处五年以下有期徒刑或者拘役；情节特别严重的，处五年以上十年以下有期徒刑。</w:t>
            </w:r>
            <w:r>
              <w:rPr>
                <w:rFonts w:hint="eastAsia"/>
                <w:color w:val="auto"/>
              </w:rPr>
              <w:br w:type="textWrapping"/>
            </w:r>
            <w:r>
              <w:rPr>
                <w:rFonts w:hint="eastAsia"/>
                <w:color w:val="auto"/>
              </w:rPr>
              <w:t>　　在执行判决、裁定活动中，严重不负责任或者滥用职权，不依法采取诉讼保全措施、不履行法定执行职责，或者违法采取诉讼保全措施、强制执行措施，致使当事人或者其他人的利益遭受重大损失的，处五年以下有期徒刑或者拘役；致使当事人或者其他人的利益遭受特别重大损失的，处五年以上十年以下有期徒刑。</w:t>
            </w:r>
            <w:r>
              <w:rPr>
                <w:rFonts w:hint="eastAsia"/>
                <w:color w:val="auto"/>
              </w:rPr>
              <w:br w:type="textWrapping"/>
            </w:r>
            <w:r>
              <w:rPr>
                <w:rFonts w:hint="eastAsia"/>
                <w:color w:val="auto"/>
              </w:rPr>
              <w:t>　　司法工作人员收受贿赂，有前三款行为的，同时又构成本法第三百八十五条规定之罪的，依照处罚较重的规定定罪处罚。</w:t>
            </w:r>
            <w:r>
              <w:rPr>
                <w:rFonts w:hint="eastAsia"/>
                <w:color w:val="auto"/>
              </w:rPr>
              <w:br w:type="textWrapping"/>
            </w:r>
            <w:r>
              <w:rPr>
                <w:rFonts w:hint="eastAsia"/>
                <w:color w:val="auto"/>
              </w:rPr>
              <w:t>　　第三百九十九条之一　依法承担仲裁职责的人员，在仲裁活动中故意违背事实和法律作枉法裁决，情节严重的，处三年以下有期徒刑或者拘役；情节特别严重的，处三年以上七年以下有期徒刑。</w:t>
            </w:r>
          </w:p>
        </w:tc>
      </w:tr>
      <w:tr>
        <w:tblPrEx>
          <w:tblLayout w:type="fixed"/>
          <w:tblCellMar>
            <w:top w:w="57" w:type="dxa"/>
            <w:left w:w="57" w:type="dxa"/>
            <w:bottom w:w="57" w:type="dxa"/>
            <w:right w:w="57" w:type="dxa"/>
          </w:tblCellMar>
        </w:tblPrEx>
        <w:trPr>
          <w:trHeight w:val="4309" w:hRule="atLeast"/>
        </w:trPr>
        <w:tc>
          <w:tcPr>
            <w:tcW w:w="6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23</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《治安管理处罚法》</w:t>
            </w:r>
          </w:p>
        </w:tc>
        <w:tc>
          <w:tcPr>
            <w:tcW w:w="9498" w:type="dxa"/>
            <w:tcBorders>
              <w:top w:val="nil"/>
              <w:left w:val="nil"/>
              <w:bottom w:val="single" w:color="auto" w:sz="4" w:space="0"/>
              <w:right w:val="single" w:color="auto" w:sz="4" w:space="0"/>
            </w:tcBorders>
            <w:shd w:val="clear" w:color="auto" w:fill="auto"/>
            <w:vAlign w:val="center"/>
          </w:tcPr>
          <w:p>
            <w:pPr>
              <w:pStyle w:val="12"/>
              <w:ind w:left="210" w:leftChars="100" w:firstLine="270" w:firstLineChars="150"/>
              <w:rPr>
                <w:color w:val="auto"/>
              </w:rPr>
            </w:pPr>
            <w:r>
              <w:rPr>
                <w:rFonts w:hint="eastAsia"/>
                <w:bCs/>
                <w:color w:val="auto"/>
              </w:rPr>
              <w:t xml:space="preserve">第一百一十六条 </w:t>
            </w:r>
            <w:r>
              <w:rPr>
                <w:rFonts w:hint="eastAsia"/>
                <w:color w:val="auto"/>
              </w:rPr>
              <w:t>人民警察办理治安案件，有下列行为之一的，依法给予行政处分；构成犯罪的，依法追究刑事责任：</w:t>
            </w:r>
            <w:r>
              <w:rPr>
                <w:rFonts w:hint="eastAsia"/>
                <w:color w:val="auto"/>
              </w:rPr>
              <w:br w:type="textWrapping"/>
            </w:r>
            <w:r>
              <w:rPr>
                <w:rFonts w:hint="eastAsia"/>
                <w:color w:val="auto"/>
              </w:rPr>
              <w:t xml:space="preserve">   (一)刑讯逼供、体罚、虐待、侮辱他人的；</w:t>
            </w:r>
            <w:r>
              <w:rPr>
                <w:rFonts w:hint="eastAsia"/>
                <w:color w:val="auto"/>
              </w:rPr>
              <w:br w:type="textWrapping"/>
            </w:r>
            <w:r>
              <w:rPr>
                <w:rFonts w:hint="eastAsia"/>
                <w:color w:val="auto"/>
              </w:rPr>
              <w:t xml:space="preserve">  (二)超过询问查证的时间限制人身自由的；</w:t>
            </w:r>
            <w:r>
              <w:rPr>
                <w:rFonts w:hint="eastAsia"/>
                <w:color w:val="auto"/>
              </w:rPr>
              <w:br w:type="textWrapping"/>
            </w:r>
            <w:r>
              <w:rPr>
                <w:rFonts w:hint="eastAsia"/>
                <w:color w:val="auto"/>
              </w:rPr>
              <w:t xml:space="preserve">  (三)不执行罚款决定与罚款收缴分离制度或者不按规定将罚没的财物上缴国库或者依法处理的；</w:t>
            </w:r>
            <w:r>
              <w:rPr>
                <w:rFonts w:hint="eastAsia"/>
                <w:color w:val="auto"/>
              </w:rPr>
              <w:br w:type="textWrapping"/>
            </w:r>
            <w:r>
              <w:rPr>
                <w:rFonts w:hint="eastAsia"/>
                <w:color w:val="auto"/>
              </w:rPr>
              <w:t xml:space="preserve">  (四)私分、侵占、挪用、故意损毁收缴、扣押的财物的；</w:t>
            </w:r>
            <w:r>
              <w:rPr>
                <w:rFonts w:hint="eastAsia"/>
                <w:color w:val="auto"/>
              </w:rPr>
              <w:br w:type="textWrapping"/>
            </w:r>
            <w:r>
              <w:rPr>
                <w:rFonts w:hint="eastAsia"/>
                <w:color w:val="auto"/>
              </w:rPr>
              <w:t xml:space="preserve">  (五)违反规定使用或者不及时返还被侵害人财物的；</w:t>
            </w:r>
            <w:r>
              <w:rPr>
                <w:rFonts w:hint="eastAsia"/>
                <w:color w:val="auto"/>
              </w:rPr>
              <w:br w:type="textWrapping"/>
            </w:r>
            <w:r>
              <w:rPr>
                <w:rFonts w:hint="eastAsia"/>
                <w:color w:val="auto"/>
              </w:rPr>
              <w:t xml:space="preserve">  (六)违反规定不及时退还保证金的；</w:t>
            </w:r>
            <w:r>
              <w:rPr>
                <w:rFonts w:hint="eastAsia"/>
                <w:color w:val="auto"/>
              </w:rPr>
              <w:br w:type="textWrapping"/>
            </w:r>
            <w:r>
              <w:rPr>
                <w:rFonts w:hint="eastAsia"/>
                <w:color w:val="auto"/>
              </w:rPr>
              <w:t xml:space="preserve">  (七)利用职务上的便利收受他人财物或者谋取其他利益的；</w:t>
            </w:r>
            <w:r>
              <w:rPr>
                <w:rFonts w:hint="eastAsia"/>
                <w:color w:val="auto"/>
              </w:rPr>
              <w:br w:type="textWrapping"/>
            </w:r>
            <w:r>
              <w:rPr>
                <w:rFonts w:hint="eastAsia"/>
                <w:color w:val="auto"/>
              </w:rPr>
              <w:t xml:space="preserve">  (八)当场收缴罚款不出具罚款收据或者不如实填写罚款数额的；</w:t>
            </w:r>
            <w:r>
              <w:rPr>
                <w:rFonts w:hint="eastAsia"/>
                <w:color w:val="auto"/>
              </w:rPr>
              <w:br w:type="textWrapping"/>
            </w:r>
            <w:r>
              <w:rPr>
                <w:rFonts w:hint="eastAsia"/>
                <w:color w:val="auto"/>
              </w:rPr>
              <w:t xml:space="preserve">  (九)接到要求制止违反治安管理行为的报警后，不及时出警的；</w:t>
            </w:r>
            <w:r>
              <w:rPr>
                <w:rFonts w:hint="eastAsia"/>
                <w:color w:val="auto"/>
              </w:rPr>
              <w:br w:type="textWrapping"/>
            </w:r>
            <w:r>
              <w:rPr>
                <w:rFonts w:hint="eastAsia"/>
                <w:color w:val="auto"/>
              </w:rPr>
              <w:t xml:space="preserve">  (十)在查处违反治安管理活动时，为违法犯罪行为人通风报信的；</w:t>
            </w:r>
            <w:r>
              <w:rPr>
                <w:rFonts w:hint="eastAsia"/>
                <w:color w:val="auto"/>
              </w:rPr>
              <w:br w:type="textWrapping"/>
            </w:r>
            <w:r>
              <w:rPr>
                <w:rFonts w:hint="eastAsia"/>
                <w:color w:val="auto"/>
              </w:rPr>
              <w:t xml:space="preserve">  (十一)有徇私舞弊、滥用职权，不依法履行法定职责的其他情形的。</w:t>
            </w:r>
            <w:r>
              <w:rPr>
                <w:rFonts w:hint="eastAsia"/>
                <w:color w:val="auto"/>
              </w:rPr>
              <w:br w:type="textWrapping"/>
            </w:r>
            <w:r>
              <w:rPr>
                <w:rFonts w:hint="eastAsia"/>
                <w:color w:val="auto"/>
              </w:rPr>
              <w:t xml:space="preserve">  办理治安案件的公安机关有前款所列行为的，对直接负责的主管人员和其他直接责任人员给予相应的行政处分。</w:t>
            </w:r>
          </w:p>
        </w:tc>
      </w:tr>
      <w:tr>
        <w:tblPrEx>
          <w:tblLayout w:type="fixed"/>
          <w:tblCellMar>
            <w:top w:w="57" w:type="dxa"/>
            <w:left w:w="57" w:type="dxa"/>
            <w:bottom w:w="57" w:type="dxa"/>
            <w:right w:w="57" w:type="dxa"/>
          </w:tblCellMar>
        </w:tblPrEx>
        <w:trPr>
          <w:trHeight w:val="741" w:hRule="atLeast"/>
        </w:trPr>
        <w:tc>
          <w:tcPr>
            <w:tcW w:w="6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24</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《治安管理处罚法》</w:t>
            </w:r>
          </w:p>
        </w:tc>
        <w:tc>
          <w:tcPr>
            <w:tcW w:w="9498" w:type="dxa"/>
            <w:tcBorders>
              <w:top w:val="nil"/>
              <w:left w:val="nil"/>
              <w:bottom w:val="single" w:color="auto" w:sz="4" w:space="0"/>
              <w:right w:val="single" w:color="auto" w:sz="4" w:space="0"/>
            </w:tcBorders>
            <w:shd w:val="clear" w:color="auto" w:fill="auto"/>
            <w:vAlign w:val="center"/>
          </w:tcPr>
          <w:p>
            <w:pPr>
              <w:pStyle w:val="12"/>
              <w:ind w:firstLine="360" w:firstLineChars="200"/>
              <w:rPr>
                <w:color w:val="auto"/>
              </w:rPr>
            </w:pPr>
            <w:r>
              <w:rPr>
                <w:rFonts w:hint="eastAsia"/>
                <w:bCs/>
                <w:color w:val="auto"/>
              </w:rPr>
              <w:t>第一百一十七条</w:t>
            </w:r>
            <w:r>
              <w:rPr>
                <w:rFonts w:hint="eastAsia"/>
                <w:color w:val="auto"/>
              </w:rPr>
              <w:t xml:space="preserve"> 公安机关及其人民警察违法行使职权，侵犯公民、法人和其他组织合法权益的，应当赔礼道歉；造成损害的，应当依法承担赔偿责任。</w:t>
            </w:r>
          </w:p>
        </w:tc>
      </w:tr>
      <w:tr>
        <w:tblPrEx>
          <w:tblLayout w:type="fixed"/>
          <w:tblCellMar>
            <w:top w:w="57" w:type="dxa"/>
            <w:left w:w="57" w:type="dxa"/>
            <w:bottom w:w="57" w:type="dxa"/>
            <w:right w:w="57" w:type="dxa"/>
          </w:tblCellMar>
        </w:tblPrEx>
        <w:trPr>
          <w:trHeight w:val="1361" w:hRule="atLeast"/>
        </w:trPr>
        <w:tc>
          <w:tcPr>
            <w:tcW w:w="6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《人民警察法》</w:t>
            </w:r>
          </w:p>
        </w:tc>
        <w:tc>
          <w:tcPr>
            <w:tcW w:w="9498" w:type="dxa"/>
            <w:tcBorders>
              <w:top w:val="nil"/>
              <w:left w:val="nil"/>
              <w:bottom w:val="single" w:color="auto" w:sz="4" w:space="0"/>
              <w:right w:val="single" w:color="auto" w:sz="4" w:space="0"/>
            </w:tcBorders>
            <w:shd w:val="clear" w:color="auto" w:fill="auto"/>
            <w:vAlign w:val="center"/>
          </w:tcPr>
          <w:p>
            <w:pPr>
              <w:pStyle w:val="12"/>
              <w:rPr>
                <w:color w:val="auto"/>
              </w:rPr>
            </w:pPr>
            <w:r>
              <w:rPr>
                <w:rFonts w:hint="eastAsia"/>
                <w:bCs/>
                <w:color w:val="auto"/>
              </w:rPr>
              <w:t xml:space="preserve">    第四十八条</w:t>
            </w:r>
            <w:r>
              <w:rPr>
                <w:rFonts w:hint="eastAsia"/>
                <w:color w:val="auto"/>
              </w:rPr>
              <w:t>　人民警察有本法第二十二条所列行为之一的，应当给予行政处分；构成犯罪的，依法追究刑事责任。</w:t>
            </w:r>
            <w:r>
              <w:rPr>
                <w:rFonts w:hint="eastAsia"/>
                <w:color w:val="auto"/>
              </w:rPr>
              <w:br w:type="textWrapping"/>
            </w:r>
            <w:r>
              <w:rPr>
                <w:rFonts w:hint="eastAsia"/>
                <w:color w:val="auto"/>
              </w:rPr>
              <w:t>　　行政处分分为：警告、记过、记大过、降级、撤职、开除。对受行政处分的人民警察，按照国家有关规定，可以降低警衔、取消警衔。</w:t>
            </w:r>
            <w:r>
              <w:rPr>
                <w:rFonts w:hint="eastAsia"/>
                <w:color w:val="auto"/>
              </w:rPr>
              <w:br w:type="textWrapping"/>
            </w:r>
            <w:r>
              <w:rPr>
                <w:rFonts w:hint="eastAsia"/>
                <w:color w:val="auto"/>
              </w:rPr>
              <w:t>　　对违反纪律的人民警察，必要时可以对其采取停止执行职务、禁闭的措施。</w:t>
            </w:r>
          </w:p>
        </w:tc>
      </w:tr>
      <w:tr>
        <w:tblPrEx>
          <w:tblLayout w:type="fixed"/>
          <w:tblCellMar>
            <w:top w:w="57" w:type="dxa"/>
            <w:left w:w="57" w:type="dxa"/>
            <w:bottom w:w="57" w:type="dxa"/>
            <w:right w:w="57" w:type="dxa"/>
          </w:tblCellMar>
        </w:tblPrEx>
        <w:trPr>
          <w:trHeight w:val="801" w:hRule="atLeast"/>
        </w:trPr>
        <w:tc>
          <w:tcPr>
            <w:tcW w:w="6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26</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《人民警察法》</w:t>
            </w:r>
          </w:p>
        </w:tc>
        <w:tc>
          <w:tcPr>
            <w:tcW w:w="9498" w:type="dxa"/>
            <w:tcBorders>
              <w:top w:val="nil"/>
              <w:left w:val="nil"/>
              <w:bottom w:val="single" w:color="auto" w:sz="4" w:space="0"/>
              <w:right w:val="single" w:color="auto" w:sz="4" w:space="0"/>
            </w:tcBorders>
            <w:shd w:val="clear" w:color="auto" w:fill="auto"/>
            <w:vAlign w:val="center"/>
          </w:tcPr>
          <w:p>
            <w:pPr>
              <w:pStyle w:val="12"/>
              <w:rPr>
                <w:color w:val="auto"/>
              </w:rPr>
            </w:pPr>
            <w:r>
              <w:rPr>
                <w:rFonts w:hint="eastAsia"/>
                <w:bCs/>
                <w:color w:val="auto"/>
              </w:rPr>
              <w:t xml:space="preserve">    第四十九条</w:t>
            </w:r>
            <w:r>
              <w:rPr>
                <w:rFonts w:hint="eastAsia"/>
                <w:color w:val="auto"/>
              </w:rPr>
              <w:t>　人民警察违反规定使用武器、警械，构成犯罪的，依法追究刑事责任；尚不构成犯罪的，应当依法给予行政处分。</w:t>
            </w:r>
          </w:p>
        </w:tc>
      </w:tr>
      <w:tr>
        <w:tblPrEx>
          <w:tblLayout w:type="fixed"/>
          <w:tblCellMar>
            <w:top w:w="57" w:type="dxa"/>
            <w:left w:w="57" w:type="dxa"/>
            <w:bottom w:w="57" w:type="dxa"/>
            <w:right w:w="57" w:type="dxa"/>
          </w:tblCellMar>
        </w:tblPrEx>
        <w:trPr>
          <w:trHeight w:val="850" w:hRule="atLeast"/>
        </w:trPr>
        <w:tc>
          <w:tcPr>
            <w:tcW w:w="6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27</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《人民警察法》</w:t>
            </w:r>
          </w:p>
        </w:tc>
        <w:tc>
          <w:tcPr>
            <w:tcW w:w="9498" w:type="dxa"/>
            <w:tcBorders>
              <w:top w:val="nil"/>
              <w:left w:val="nil"/>
              <w:bottom w:val="single" w:color="auto" w:sz="4" w:space="0"/>
              <w:right w:val="single" w:color="auto" w:sz="4" w:space="0"/>
            </w:tcBorders>
            <w:shd w:val="clear" w:color="auto" w:fill="auto"/>
            <w:vAlign w:val="center"/>
          </w:tcPr>
          <w:p>
            <w:pPr>
              <w:pStyle w:val="12"/>
              <w:rPr>
                <w:color w:val="auto"/>
              </w:rPr>
            </w:pPr>
            <w:r>
              <w:rPr>
                <w:rFonts w:hint="eastAsia"/>
                <w:bCs/>
                <w:color w:val="auto"/>
              </w:rPr>
              <w:t xml:space="preserve">     第五十条</w:t>
            </w:r>
            <w:r>
              <w:rPr>
                <w:rFonts w:hint="eastAsia"/>
                <w:color w:val="auto"/>
              </w:rPr>
              <w:t>　人民警察在执行职务中，侵犯公民或者组织的合法权益造成损害的，应当依照《中华人民共和国国家赔偿法》和其他有关法律、法规的规定给予赔偿。</w:t>
            </w:r>
          </w:p>
        </w:tc>
      </w:tr>
      <w:tr>
        <w:tblPrEx>
          <w:tblLayout w:type="fixed"/>
          <w:tblCellMar>
            <w:top w:w="57" w:type="dxa"/>
            <w:left w:w="57" w:type="dxa"/>
            <w:bottom w:w="57" w:type="dxa"/>
            <w:right w:w="57" w:type="dxa"/>
          </w:tblCellMar>
        </w:tblPrEx>
        <w:trPr>
          <w:trHeight w:val="1581" w:hRule="atLeast"/>
        </w:trPr>
        <w:tc>
          <w:tcPr>
            <w:tcW w:w="6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28</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《禁毒法》</w:t>
            </w:r>
          </w:p>
        </w:tc>
        <w:tc>
          <w:tcPr>
            <w:tcW w:w="9498" w:type="dxa"/>
            <w:tcBorders>
              <w:top w:val="nil"/>
              <w:left w:val="nil"/>
              <w:bottom w:val="single" w:color="auto" w:sz="4" w:space="0"/>
              <w:right w:val="single" w:color="auto" w:sz="4" w:space="0"/>
            </w:tcBorders>
            <w:shd w:val="clear" w:color="auto" w:fill="auto"/>
            <w:vAlign w:val="center"/>
          </w:tcPr>
          <w:p>
            <w:pPr>
              <w:pStyle w:val="12"/>
              <w:rPr>
                <w:color w:val="auto"/>
              </w:rPr>
            </w:pPr>
            <w:r>
              <w:rPr>
                <w:rFonts w:hint="eastAsia"/>
                <w:bCs/>
                <w:color w:val="auto"/>
              </w:rPr>
              <w:t xml:space="preserve">     第六十九条</w:t>
            </w:r>
            <w:r>
              <w:rPr>
                <w:rFonts w:hint="eastAsia"/>
                <w:color w:val="auto"/>
              </w:rPr>
              <w:t>　公安机关、司法行政部门或者其他有关主管部门的工作人员在禁毒工作中有下列行为之一，构成犯罪的，依法追究刑事责任；尚不构成犯罪的，依法给予处分：</w:t>
            </w:r>
            <w:r>
              <w:rPr>
                <w:rFonts w:hint="eastAsia"/>
                <w:color w:val="auto"/>
              </w:rPr>
              <w:br w:type="textWrapping"/>
            </w:r>
            <w:r>
              <w:rPr>
                <w:rFonts w:hint="eastAsia"/>
                <w:color w:val="auto"/>
              </w:rPr>
              <w:t xml:space="preserve">    （一）包庇、纵容毒品违法犯罪人员的；</w:t>
            </w:r>
            <w:r>
              <w:rPr>
                <w:rFonts w:hint="eastAsia"/>
                <w:color w:val="auto"/>
              </w:rPr>
              <w:br w:type="textWrapping"/>
            </w:r>
            <w:r>
              <w:rPr>
                <w:rFonts w:hint="eastAsia"/>
                <w:color w:val="auto"/>
              </w:rPr>
              <w:t xml:space="preserve">    （二）对戒毒人员有体罚、虐待、侮辱等行为的；</w:t>
            </w:r>
            <w:r>
              <w:rPr>
                <w:rFonts w:hint="eastAsia"/>
                <w:color w:val="auto"/>
              </w:rPr>
              <w:br w:type="textWrapping"/>
            </w:r>
            <w:r>
              <w:rPr>
                <w:rFonts w:hint="eastAsia"/>
                <w:color w:val="auto"/>
              </w:rPr>
              <w:t xml:space="preserve">    （三）挪用、截留、克扣禁毒经费的；</w:t>
            </w:r>
            <w:r>
              <w:rPr>
                <w:rFonts w:hint="eastAsia"/>
                <w:color w:val="auto"/>
              </w:rPr>
              <w:br w:type="textWrapping"/>
            </w:r>
            <w:r>
              <w:rPr>
                <w:rFonts w:hint="eastAsia"/>
                <w:color w:val="auto"/>
              </w:rPr>
              <w:t xml:space="preserve">    （四）擅自处分查获的毒品和扣押、查封、冻结的涉及毒品违法犯罪活动的财物的。</w:t>
            </w:r>
          </w:p>
        </w:tc>
      </w:tr>
      <w:tr>
        <w:tblPrEx>
          <w:tblLayout w:type="fixed"/>
          <w:tblCellMar>
            <w:top w:w="57" w:type="dxa"/>
            <w:left w:w="57" w:type="dxa"/>
            <w:bottom w:w="57" w:type="dxa"/>
            <w:right w:w="57" w:type="dxa"/>
          </w:tblCellMar>
        </w:tblPrEx>
        <w:trPr>
          <w:trHeight w:val="1728" w:hRule="atLeast"/>
        </w:trPr>
        <w:tc>
          <w:tcPr>
            <w:tcW w:w="6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29</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《出境入境管理法》</w:t>
            </w:r>
          </w:p>
        </w:tc>
        <w:tc>
          <w:tcPr>
            <w:tcW w:w="9498" w:type="dxa"/>
            <w:tcBorders>
              <w:top w:val="nil"/>
              <w:left w:val="nil"/>
              <w:bottom w:val="single" w:color="auto" w:sz="4" w:space="0"/>
              <w:right w:val="single" w:color="auto" w:sz="4" w:space="0"/>
            </w:tcBorders>
            <w:shd w:val="clear" w:color="auto" w:fill="auto"/>
            <w:vAlign w:val="center"/>
          </w:tcPr>
          <w:p>
            <w:pPr>
              <w:pStyle w:val="12"/>
              <w:ind w:firstLine="360" w:firstLineChars="200"/>
              <w:rPr>
                <w:color w:val="auto"/>
              </w:rPr>
            </w:pPr>
            <w:r>
              <w:rPr>
                <w:rFonts w:hint="eastAsia"/>
                <w:bCs/>
                <w:color w:val="auto"/>
              </w:rPr>
              <w:t xml:space="preserve"> 第八十五条</w:t>
            </w:r>
            <w:r>
              <w:rPr>
                <w:rFonts w:hint="eastAsia"/>
                <w:color w:val="auto"/>
              </w:rPr>
              <w:t xml:space="preserve"> 履行出境入境管理职责的工作人员，有下列行为之一的，依法给予处分：</w:t>
            </w:r>
            <w:r>
              <w:rPr>
                <w:rFonts w:hint="eastAsia"/>
                <w:color w:val="auto"/>
              </w:rPr>
              <w:br w:type="textWrapping"/>
            </w:r>
            <w:r>
              <w:rPr>
                <w:rFonts w:hint="eastAsia"/>
                <w:color w:val="auto"/>
              </w:rPr>
              <w:t xml:space="preserve">    （一）违反法律、行政法规，为不符合规定条件的外国人签发签证、外国人停留居留证件等出境入境证件的；</w:t>
            </w:r>
            <w:r>
              <w:rPr>
                <w:rFonts w:hint="eastAsia"/>
                <w:color w:val="auto"/>
              </w:rPr>
              <w:br w:type="textWrapping"/>
            </w:r>
            <w:r>
              <w:rPr>
                <w:rFonts w:hint="eastAsia"/>
                <w:color w:val="auto"/>
              </w:rPr>
              <w:t xml:space="preserve">    （二）违反法律、行政法规，审核验放不符合规定条件的人员或者交通运输工具出境入境的；</w:t>
            </w:r>
            <w:r>
              <w:rPr>
                <w:rFonts w:hint="eastAsia"/>
                <w:color w:val="auto"/>
              </w:rPr>
              <w:br w:type="textWrapping"/>
            </w:r>
            <w:r>
              <w:rPr>
                <w:rFonts w:hint="eastAsia"/>
                <w:color w:val="auto"/>
              </w:rPr>
              <w:t xml:space="preserve">    （三）泄露在出境入境管理工作中知悉的个人信息，侵害当事人合法权益的；</w:t>
            </w:r>
            <w:r>
              <w:rPr>
                <w:rFonts w:hint="eastAsia"/>
                <w:color w:val="auto"/>
              </w:rPr>
              <w:br w:type="textWrapping"/>
            </w:r>
            <w:r>
              <w:rPr>
                <w:rFonts w:hint="eastAsia"/>
                <w:color w:val="auto"/>
              </w:rPr>
              <w:t xml:space="preserve">    （四）不按照规定将依法收取的费用、收缴的罚款及没收的违法所得、非法财物上缴国库的；</w:t>
            </w:r>
            <w:r>
              <w:rPr>
                <w:rFonts w:hint="eastAsia"/>
                <w:color w:val="auto"/>
              </w:rPr>
              <w:br w:type="textWrapping"/>
            </w:r>
            <w:r>
              <w:rPr>
                <w:rFonts w:hint="eastAsia"/>
                <w:color w:val="auto"/>
              </w:rPr>
              <w:t xml:space="preserve">    （五）私分、侵占、挪用罚没、扣押的款物或者收取的费用的；</w:t>
            </w:r>
            <w:r>
              <w:rPr>
                <w:rFonts w:hint="eastAsia"/>
                <w:color w:val="auto"/>
              </w:rPr>
              <w:br w:type="textWrapping"/>
            </w:r>
            <w:r>
              <w:rPr>
                <w:rFonts w:hint="eastAsia"/>
                <w:color w:val="auto"/>
              </w:rPr>
              <w:t xml:space="preserve">    （六）滥用职权、玩忽职守、徇私舞弊，不依法履行法定职责的其他行为。</w:t>
            </w:r>
          </w:p>
        </w:tc>
      </w:tr>
      <w:tr>
        <w:tblPrEx>
          <w:tblLayout w:type="fixed"/>
          <w:tblCellMar>
            <w:top w:w="57" w:type="dxa"/>
            <w:left w:w="57" w:type="dxa"/>
            <w:bottom w:w="57" w:type="dxa"/>
            <w:right w:w="57" w:type="dxa"/>
          </w:tblCellMar>
        </w:tblPrEx>
        <w:trPr>
          <w:trHeight w:val="1728" w:hRule="atLeast"/>
        </w:trPr>
        <w:tc>
          <w:tcPr>
            <w:tcW w:w="6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《护照法》</w:t>
            </w:r>
          </w:p>
        </w:tc>
        <w:tc>
          <w:tcPr>
            <w:tcW w:w="9498" w:type="dxa"/>
            <w:tcBorders>
              <w:top w:val="nil"/>
              <w:left w:val="nil"/>
              <w:bottom w:val="single" w:color="auto" w:sz="4" w:space="0"/>
              <w:right w:val="single" w:color="auto" w:sz="4" w:space="0"/>
            </w:tcBorders>
            <w:shd w:val="clear" w:color="auto" w:fill="auto"/>
            <w:vAlign w:val="center"/>
          </w:tcPr>
          <w:p>
            <w:pPr>
              <w:pStyle w:val="12"/>
              <w:rPr>
                <w:color w:val="auto"/>
              </w:rPr>
            </w:pPr>
            <w:r>
              <w:rPr>
                <w:rFonts w:hint="eastAsia"/>
                <w:bCs/>
                <w:color w:val="auto"/>
              </w:rPr>
              <w:t xml:space="preserve">     第二十条</w:t>
            </w:r>
            <w:r>
              <w:rPr>
                <w:rFonts w:hint="eastAsia"/>
                <w:color w:val="auto"/>
              </w:rPr>
              <w:t xml:space="preserve"> 护照签发机关工作人员在办理护照过程中有下列行为之一的，依法给予行政处分；构成犯罪的，依法追究刑事责任：</w:t>
            </w:r>
            <w:r>
              <w:rPr>
                <w:rFonts w:hint="eastAsia"/>
                <w:color w:val="auto"/>
              </w:rPr>
              <w:br w:type="textWrapping"/>
            </w:r>
            <w:r>
              <w:rPr>
                <w:rFonts w:hint="eastAsia"/>
                <w:color w:val="auto"/>
              </w:rPr>
              <w:t>　　（一）应当受理而不予受理的；</w:t>
            </w:r>
            <w:r>
              <w:rPr>
                <w:rFonts w:hint="eastAsia"/>
                <w:color w:val="auto"/>
              </w:rPr>
              <w:br w:type="textWrapping"/>
            </w:r>
            <w:r>
              <w:rPr>
                <w:rFonts w:hint="eastAsia"/>
                <w:color w:val="auto"/>
              </w:rPr>
              <w:t>　　（二）无正当理由不在法定期限内签发的；</w:t>
            </w:r>
            <w:r>
              <w:rPr>
                <w:rFonts w:hint="eastAsia"/>
                <w:color w:val="auto"/>
              </w:rPr>
              <w:br w:type="textWrapping"/>
            </w:r>
            <w:r>
              <w:rPr>
                <w:rFonts w:hint="eastAsia"/>
                <w:color w:val="auto"/>
              </w:rPr>
              <w:t>　　（三）超出国家规定标准收取费用的；</w:t>
            </w:r>
            <w:r>
              <w:rPr>
                <w:rFonts w:hint="eastAsia"/>
                <w:color w:val="auto"/>
              </w:rPr>
              <w:br w:type="textWrapping"/>
            </w:r>
            <w:r>
              <w:rPr>
                <w:rFonts w:hint="eastAsia"/>
                <w:color w:val="auto"/>
              </w:rPr>
              <w:t>　　（四）向申请人索取或者收受贿赂的；</w:t>
            </w:r>
            <w:r>
              <w:rPr>
                <w:rFonts w:hint="eastAsia"/>
                <w:color w:val="auto"/>
              </w:rPr>
              <w:br w:type="textWrapping"/>
            </w:r>
            <w:r>
              <w:rPr>
                <w:rFonts w:hint="eastAsia"/>
                <w:color w:val="auto"/>
              </w:rPr>
              <w:t>　　（五）泄露因制作、签发护照而知悉的公民个人信息，侵害公民合法权益的；</w:t>
            </w:r>
            <w:r>
              <w:rPr>
                <w:rFonts w:hint="eastAsia"/>
                <w:color w:val="auto"/>
              </w:rPr>
              <w:br w:type="textWrapping"/>
            </w:r>
            <w:r>
              <w:rPr>
                <w:rFonts w:hint="eastAsia"/>
                <w:color w:val="auto"/>
              </w:rPr>
              <w:t>　　（六）滥用职权、玩忽职守、徇私舞弊的其他行为。</w:t>
            </w:r>
          </w:p>
        </w:tc>
      </w:tr>
      <w:tr>
        <w:tblPrEx>
          <w:tblLayout w:type="fixed"/>
          <w:tblCellMar>
            <w:top w:w="57" w:type="dxa"/>
            <w:left w:w="57" w:type="dxa"/>
            <w:bottom w:w="57" w:type="dxa"/>
            <w:right w:w="57" w:type="dxa"/>
          </w:tblCellMar>
        </w:tblPrEx>
        <w:trPr>
          <w:trHeight w:val="1341" w:hRule="atLeast"/>
        </w:trPr>
        <w:tc>
          <w:tcPr>
            <w:tcW w:w="6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31</w:t>
            </w:r>
          </w:p>
        </w:tc>
        <w:tc>
          <w:tcPr>
            <w:tcW w:w="3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《枪支管理法》</w:t>
            </w:r>
          </w:p>
        </w:tc>
        <w:tc>
          <w:tcPr>
            <w:tcW w:w="9498" w:type="dxa"/>
            <w:tcBorders>
              <w:top w:val="nil"/>
              <w:left w:val="nil"/>
              <w:bottom w:val="single" w:color="auto" w:sz="4" w:space="0"/>
              <w:right w:val="single" w:color="auto" w:sz="4" w:space="0"/>
            </w:tcBorders>
            <w:shd w:val="clear" w:color="auto" w:fill="auto"/>
            <w:vAlign w:val="center"/>
          </w:tcPr>
          <w:p>
            <w:pPr>
              <w:pStyle w:val="12"/>
              <w:ind w:firstLine="360" w:firstLineChars="200"/>
              <w:rPr>
                <w:color w:val="auto"/>
              </w:rPr>
            </w:pPr>
            <w:r>
              <w:rPr>
                <w:rFonts w:hint="eastAsia"/>
                <w:bCs/>
                <w:color w:val="auto"/>
              </w:rPr>
              <w:t xml:space="preserve"> 第四十五条</w:t>
            </w:r>
            <w:r>
              <w:rPr>
                <w:rFonts w:hint="eastAsia"/>
                <w:color w:val="auto"/>
              </w:rPr>
              <w:t xml:space="preserve"> 公安机关工作人员有下列行为之一的，依法追究刑事责任；未构成犯罪的，依法给予行政处分： </w:t>
            </w:r>
            <w:r>
              <w:rPr>
                <w:rFonts w:hint="eastAsia"/>
                <w:color w:val="auto"/>
              </w:rPr>
              <w:br w:type="textWrapping"/>
            </w:r>
            <w:r>
              <w:rPr>
                <w:rFonts w:hint="eastAsia"/>
                <w:color w:val="auto"/>
              </w:rPr>
              <w:t xml:space="preserve">   （一）向本法第五条、第六条规定以外的单位和个人配备、配置枪支的； </w:t>
            </w:r>
            <w:r>
              <w:rPr>
                <w:rFonts w:hint="eastAsia"/>
                <w:color w:val="auto"/>
              </w:rPr>
              <w:br w:type="textWrapping"/>
            </w:r>
            <w:r>
              <w:rPr>
                <w:rFonts w:hint="eastAsia"/>
                <w:color w:val="auto"/>
              </w:rPr>
              <w:t xml:space="preserve">   （二）违法发给枪支管理证件的； </w:t>
            </w:r>
            <w:r>
              <w:rPr>
                <w:rFonts w:hint="eastAsia"/>
                <w:color w:val="auto"/>
              </w:rPr>
              <w:br w:type="textWrapping"/>
            </w:r>
            <w:r>
              <w:rPr>
                <w:rFonts w:hint="eastAsia"/>
                <w:color w:val="auto"/>
              </w:rPr>
              <w:t xml:space="preserve">   （三）将没收的枪支据为己有的； </w:t>
            </w:r>
            <w:r>
              <w:rPr>
                <w:rFonts w:hint="eastAsia"/>
                <w:color w:val="auto"/>
              </w:rPr>
              <w:br w:type="textWrapping"/>
            </w:r>
            <w:r>
              <w:rPr>
                <w:rFonts w:hint="eastAsia"/>
                <w:color w:val="auto"/>
              </w:rPr>
              <w:t xml:space="preserve">   （四）不履行枪支管理职责，造成后果的。 </w:t>
            </w:r>
          </w:p>
        </w:tc>
      </w:tr>
      <w:tr>
        <w:tblPrEx>
          <w:tblLayout w:type="fixed"/>
          <w:tblCellMar>
            <w:top w:w="57" w:type="dxa"/>
            <w:left w:w="57" w:type="dxa"/>
            <w:bottom w:w="57" w:type="dxa"/>
            <w:right w:w="57" w:type="dxa"/>
          </w:tblCellMar>
        </w:tblPrEx>
        <w:trPr>
          <w:trHeight w:val="5953" w:hRule="atLeast"/>
        </w:trPr>
        <w:tc>
          <w:tcPr>
            <w:tcW w:w="6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32</w:t>
            </w:r>
          </w:p>
        </w:tc>
        <w:tc>
          <w:tcPr>
            <w:tcW w:w="39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《公务员法》</w:t>
            </w:r>
          </w:p>
        </w:tc>
        <w:tc>
          <w:tcPr>
            <w:tcW w:w="9498" w:type="dxa"/>
            <w:tcBorders>
              <w:top w:val="nil"/>
              <w:left w:val="nil"/>
              <w:bottom w:val="single" w:color="auto" w:sz="4" w:space="0"/>
              <w:right w:val="single" w:color="auto" w:sz="4" w:space="0"/>
            </w:tcBorders>
            <w:shd w:val="clear" w:color="auto" w:fill="auto"/>
            <w:vAlign w:val="center"/>
          </w:tcPr>
          <w:p>
            <w:pPr>
              <w:pStyle w:val="12"/>
              <w:ind w:firstLine="360" w:firstLineChars="200"/>
              <w:jc w:val="left"/>
              <w:rPr>
                <w:color w:val="auto"/>
              </w:rPr>
            </w:pPr>
            <w:r>
              <w:rPr>
                <w:rFonts w:hint="eastAsia"/>
                <w:bCs/>
                <w:color w:val="auto"/>
              </w:rPr>
              <w:t>第五十三条</w:t>
            </w:r>
            <w:r>
              <w:rPr>
                <w:rFonts w:hint="eastAsia"/>
                <w:color w:val="auto"/>
              </w:rPr>
              <w:t xml:space="preserve"> 公务员必须遵守纪律，不得有下列行为： </w:t>
            </w:r>
            <w:r>
              <w:rPr>
                <w:rFonts w:hint="eastAsia"/>
                <w:color w:val="auto"/>
              </w:rPr>
              <w:br w:type="textWrapping"/>
            </w:r>
            <w:r>
              <w:rPr>
                <w:rFonts w:hint="eastAsia"/>
                <w:color w:val="auto"/>
              </w:rPr>
              <w:t xml:space="preserve">　　（一）散布有损国家声誉的言论，组织或者参加旨在反对国家的集会、游行、示威等活动； </w:t>
            </w:r>
            <w:r>
              <w:rPr>
                <w:rFonts w:hint="eastAsia"/>
                <w:color w:val="auto"/>
              </w:rPr>
              <w:br w:type="textWrapping"/>
            </w:r>
            <w:r>
              <w:rPr>
                <w:rFonts w:hint="eastAsia"/>
                <w:color w:val="auto"/>
              </w:rPr>
              <w:t xml:space="preserve">　　（二）组织或者参加非法组织，组织或者参加罢工； </w:t>
            </w:r>
            <w:r>
              <w:rPr>
                <w:rFonts w:hint="eastAsia"/>
                <w:color w:val="auto"/>
              </w:rPr>
              <w:br w:type="textWrapping"/>
            </w:r>
            <w:r>
              <w:rPr>
                <w:rFonts w:hint="eastAsia"/>
                <w:color w:val="auto"/>
              </w:rPr>
              <w:t xml:space="preserve">　　（三）玩忽职守，贻误工作； </w:t>
            </w:r>
            <w:r>
              <w:rPr>
                <w:rFonts w:hint="eastAsia"/>
                <w:color w:val="auto"/>
              </w:rPr>
              <w:br w:type="textWrapping"/>
            </w:r>
            <w:r>
              <w:rPr>
                <w:rFonts w:hint="eastAsia"/>
                <w:color w:val="auto"/>
              </w:rPr>
              <w:t xml:space="preserve">　　（四）拒绝执行上级依法作出的决定和命令； </w:t>
            </w:r>
            <w:r>
              <w:rPr>
                <w:rFonts w:hint="eastAsia"/>
                <w:color w:val="auto"/>
              </w:rPr>
              <w:br w:type="textWrapping"/>
            </w:r>
            <w:r>
              <w:rPr>
                <w:rFonts w:hint="eastAsia"/>
                <w:color w:val="auto"/>
              </w:rPr>
              <w:t xml:space="preserve">　　（五）压制批评，打击报复； </w:t>
            </w:r>
            <w:r>
              <w:rPr>
                <w:rFonts w:hint="eastAsia"/>
                <w:color w:val="auto"/>
              </w:rPr>
              <w:br w:type="textWrapping"/>
            </w:r>
            <w:r>
              <w:rPr>
                <w:rFonts w:hint="eastAsia"/>
                <w:color w:val="auto"/>
              </w:rPr>
              <w:t xml:space="preserve">　　（六）弄虚作假，误导、欺骗领导和公众； </w:t>
            </w:r>
            <w:r>
              <w:rPr>
                <w:rFonts w:hint="eastAsia"/>
                <w:color w:val="auto"/>
              </w:rPr>
              <w:br w:type="textWrapping"/>
            </w:r>
            <w:r>
              <w:rPr>
                <w:rFonts w:hint="eastAsia"/>
                <w:color w:val="auto"/>
              </w:rPr>
              <w:t xml:space="preserve">　　（七）贪污、行贿、受贿，利用职务之便为自己或者他人谋取私利； </w:t>
            </w:r>
            <w:r>
              <w:rPr>
                <w:rFonts w:hint="eastAsia"/>
                <w:color w:val="auto"/>
              </w:rPr>
              <w:br w:type="textWrapping"/>
            </w:r>
            <w:r>
              <w:rPr>
                <w:rFonts w:hint="eastAsia"/>
                <w:color w:val="auto"/>
              </w:rPr>
              <w:t xml:space="preserve">　　（八）违反财经纪律，浪费国家资财； </w:t>
            </w:r>
            <w:r>
              <w:rPr>
                <w:rFonts w:hint="eastAsia"/>
                <w:color w:val="auto"/>
              </w:rPr>
              <w:br w:type="textWrapping"/>
            </w:r>
            <w:r>
              <w:rPr>
                <w:rFonts w:hint="eastAsia"/>
                <w:color w:val="auto"/>
              </w:rPr>
              <w:t xml:space="preserve">　　（九）滥用职权，侵害公民、法人或者其他组织的合法权益； </w:t>
            </w:r>
            <w:r>
              <w:rPr>
                <w:rFonts w:hint="eastAsia"/>
                <w:color w:val="auto"/>
              </w:rPr>
              <w:br w:type="textWrapping"/>
            </w:r>
            <w:r>
              <w:rPr>
                <w:rFonts w:hint="eastAsia"/>
                <w:color w:val="auto"/>
              </w:rPr>
              <w:t xml:space="preserve">　　（十）泄露国家秘密或者工作秘密； </w:t>
            </w:r>
            <w:r>
              <w:rPr>
                <w:rFonts w:hint="eastAsia"/>
                <w:color w:val="auto"/>
              </w:rPr>
              <w:br w:type="textWrapping"/>
            </w:r>
            <w:r>
              <w:rPr>
                <w:rFonts w:hint="eastAsia"/>
                <w:color w:val="auto"/>
              </w:rPr>
              <w:t xml:space="preserve">　　（十一）在对外交往中损害国家荣誉和利益； </w:t>
            </w:r>
            <w:r>
              <w:rPr>
                <w:rFonts w:hint="eastAsia"/>
                <w:color w:val="auto"/>
              </w:rPr>
              <w:br w:type="textWrapping"/>
            </w:r>
            <w:r>
              <w:rPr>
                <w:rFonts w:hint="eastAsia"/>
                <w:color w:val="auto"/>
              </w:rPr>
              <w:t xml:space="preserve">　　（十二）参与或者支持色情、吸毒、赌博、迷信等活动； </w:t>
            </w:r>
            <w:r>
              <w:rPr>
                <w:rFonts w:hint="eastAsia"/>
                <w:color w:val="auto"/>
              </w:rPr>
              <w:br w:type="textWrapping"/>
            </w:r>
            <w:r>
              <w:rPr>
                <w:rFonts w:hint="eastAsia"/>
                <w:color w:val="auto"/>
              </w:rPr>
              <w:t xml:space="preserve">　　（十三）违反职业道德、社会公德； </w:t>
            </w:r>
            <w:r>
              <w:rPr>
                <w:rFonts w:hint="eastAsia"/>
                <w:color w:val="auto"/>
              </w:rPr>
              <w:br w:type="textWrapping"/>
            </w:r>
            <w:r>
              <w:rPr>
                <w:rFonts w:hint="eastAsia"/>
                <w:color w:val="auto"/>
              </w:rPr>
              <w:t xml:space="preserve">　　（十四）从事或者参与营利性活动，在企业或者其他营利性组织中兼任职务； </w:t>
            </w:r>
            <w:r>
              <w:rPr>
                <w:rFonts w:hint="eastAsia"/>
                <w:color w:val="auto"/>
              </w:rPr>
              <w:br w:type="textWrapping"/>
            </w:r>
            <w:r>
              <w:rPr>
                <w:rFonts w:hint="eastAsia"/>
                <w:color w:val="auto"/>
              </w:rPr>
              <w:t xml:space="preserve">　　（十五）旷工或者因公外出、请假期满无正当理由逾期不归； </w:t>
            </w:r>
            <w:r>
              <w:rPr>
                <w:rFonts w:hint="eastAsia"/>
                <w:color w:val="auto"/>
              </w:rPr>
              <w:br w:type="textWrapping"/>
            </w:r>
            <w:r>
              <w:rPr>
                <w:rFonts w:hint="eastAsia"/>
                <w:color w:val="auto"/>
              </w:rPr>
              <w:t>　　（十六）违反纪律的其他行为。</w:t>
            </w:r>
          </w:p>
        </w:tc>
      </w:tr>
      <w:tr>
        <w:tblPrEx>
          <w:tblLayout w:type="fixed"/>
          <w:tblCellMar>
            <w:top w:w="57" w:type="dxa"/>
            <w:left w:w="57" w:type="dxa"/>
            <w:bottom w:w="57" w:type="dxa"/>
            <w:right w:w="57" w:type="dxa"/>
          </w:tblCellMar>
        </w:tblPrEx>
        <w:trPr>
          <w:trHeight w:val="2381" w:hRule="atLeast"/>
        </w:trPr>
        <w:tc>
          <w:tcPr>
            <w:tcW w:w="6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33</w:t>
            </w:r>
          </w:p>
        </w:tc>
        <w:tc>
          <w:tcPr>
            <w:tcW w:w="39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《中国共产党纪律处分条例》</w:t>
            </w:r>
          </w:p>
        </w:tc>
        <w:tc>
          <w:tcPr>
            <w:tcW w:w="9498" w:type="dxa"/>
            <w:tcBorders>
              <w:top w:val="nil"/>
              <w:left w:val="nil"/>
              <w:bottom w:val="single" w:color="auto" w:sz="4" w:space="0"/>
              <w:right w:val="single" w:color="auto" w:sz="4" w:space="0"/>
            </w:tcBorders>
            <w:shd w:val="clear" w:color="auto" w:fill="auto"/>
            <w:vAlign w:val="center"/>
          </w:tcPr>
          <w:p>
            <w:pPr>
              <w:pStyle w:val="12"/>
              <w:ind w:firstLine="360" w:firstLineChars="200"/>
              <w:jc w:val="left"/>
              <w:rPr>
                <w:color w:val="auto"/>
              </w:rPr>
            </w:pPr>
            <w:r>
              <w:rPr>
                <w:rFonts w:hint="eastAsia"/>
                <w:bCs/>
                <w:color w:val="auto"/>
              </w:rPr>
              <w:t>第一百二十七条</w:t>
            </w:r>
            <w:r>
              <w:rPr>
                <w:rFonts w:hint="eastAsia"/>
                <w:color w:val="auto"/>
              </w:rPr>
              <w:t>　党和国家工作人员或者其他从事公务的人员，在工作中不履行或者不正确履行职责，给党、国家和人民利益以及公共财产造成较大损失的，给予警告或者严重警告处分；造成重大损失的，给予撤销党内职务、留党察看或者开除党籍处分。本条例另有规定的，依照规定。</w:t>
            </w:r>
            <w:r>
              <w:rPr>
                <w:rFonts w:hint="eastAsia"/>
                <w:color w:val="auto"/>
              </w:rPr>
              <w:br w:type="textWrapping"/>
            </w:r>
            <w:r>
              <w:rPr>
                <w:rFonts w:hint="eastAsia"/>
                <w:color w:val="auto"/>
              </w:rPr>
              <w:t>　　前款所列人员，在工作中滥用职权或者玩忽职守，给党、国家和人民利益以及公共财产造成较大损失的，给予严重警告处分；造成重大损失的，给予撤销党内职务、留党察看或者开除党籍处分。在工作中徇私舞弊的，从重或者加重处分。本条例另有规定的，依照规定。</w:t>
            </w:r>
          </w:p>
        </w:tc>
      </w:tr>
      <w:tr>
        <w:tblPrEx>
          <w:tblLayout w:type="fixed"/>
          <w:tblCellMar>
            <w:top w:w="57" w:type="dxa"/>
            <w:left w:w="57" w:type="dxa"/>
            <w:bottom w:w="57" w:type="dxa"/>
            <w:right w:w="57" w:type="dxa"/>
          </w:tblCellMar>
        </w:tblPrEx>
        <w:trPr>
          <w:trHeight w:val="780" w:hRule="atLeast"/>
        </w:trPr>
        <w:tc>
          <w:tcPr>
            <w:tcW w:w="6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34</w:t>
            </w:r>
          </w:p>
        </w:tc>
        <w:tc>
          <w:tcPr>
            <w:tcW w:w="39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《中国共产党纪律处分条例》</w:t>
            </w:r>
          </w:p>
        </w:tc>
        <w:tc>
          <w:tcPr>
            <w:tcW w:w="9498" w:type="dxa"/>
            <w:tcBorders>
              <w:top w:val="nil"/>
              <w:left w:val="nil"/>
              <w:bottom w:val="single" w:color="auto" w:sz="4" w:space="0"/>
              <w:right w:val="single" w:color="auto" w:sz="4" w:space="0"/>
            </w:tcBorders>
            <w:shd w:val="clear" w:color="auto" w:fill="auto"/>
            <w:vAlign w:val="center"/>
          </w:tcPr>
          <w:p>
            <w:pPr>
              <w:pStyle w:val="12"/>
              <w:jc w:val="left"/>
              <w:rPr>
                <w:color w:val="auto"/>
              </w:rPr>
            </w:pPr>
            <w:r>
              <w:rPr>
                <w:rFonts w:hint="eastAsia"/>
                <w:bCs/>
                <w:color w:val="auto"/>
              </w:rPr>
              <w:t xml:space="preserve">     第六条</w:t>
            </w:r>
            <w:r>
              <w:rPr>
                <w:rFonts w:hint="eastAsia"/>
                <w:color w:val="auto"/>
              </w:rPr>
              <w:t xml:space="preserve">  党组织和党员违反党章和其他党内法规，违反国家法律法规，违反党和国家政策，违反社会主义道德，危害党、国家和人民利益的行为，依照规定应当给予纪律处理或者处分的，都必须受到追究。</w:t>
            </w:r>
          </w:p>
        </w:tc>
      </w:tr>
      <w:tr>
        <w:tblPrEx>
          <w:tblLayout w:type="fixed"/>
          <w:tblCellMar>
            <w:top w:w="57" w:type="dxa"/>
            <w:left w:w="57" w:type="dxa"/>
            <w:bottom w:w="57" w:type="dxa"/>
            <w:right w:w="57" w:type="dxa"/>
          </w:tblCellMar>
        </w:tblPrEx>
        <w:trPr>
          <w:trHeight w:val="1871" w:hRule="atLeast"/>
        </w:trPr>
        <w:tc>
          <w:tcPr>
            <w:tcW w:w="6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35</w:t>
            </w:r>
          </w:p>
        </w:tc>
        <w:tc>
          <w:tcPr>
            <w:tcW w:w="39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《中国共产党纪律处分条例》</w:t>
            </w:r>
          </w:p>
        </w:tc>
        <w:tc>
          <w:tcPr>
            <w:tcW w:w="9498" w:type="dxa"/>
            <w:tcBorders>
              <w:top w:val="nil"/>
              <w:left w:val="nil"/>
              <w:bottom w:val="single" w:color="auto" w:sz="4" w:space="0"/>
              <w:right w:val="single" w:color="auto" w:sz="4" w:space="0"/>
            </w:tcBorders>
            <w:shd w:val="clear" w:color="auto" w:fill="auto"/>
            <w:vAlign w:val="center"/>
          </w:tcPr>
          <w:p>
            <w:pPr>
              <w:pStyle w:val="12"/>
              <w:jc w:val="left"/>
              <w:rPr>
                <w:bCs/>
                <w:color w:val="auto"/>
              </w:rPr>
            </w:pPr>
            <w:r>
              <w:rPr>
                <w:rFonts w:hint="eastAsia"/>
                <w:bCs/>
                <w:color w:val="auto"/>
              </w:rPr>
              <w:t xml:space="preserve">     第一百零五条</w:t>
            </w:r>
            <w:r>
              <w:rPr>
                <w:rFonts w:hint="eastAsia"/>
                <w:color w:val="auto"/>
              </w:rPr>
              <w:t>　有下列行为之一，对直接责任者和领导责任者，情节较轻的，给予警告或者严重警告处分；情节较重的，给予撤销党内职务或者留党察看处分；情节严重的，给予开除党籍处分：</w:t>
            </w:r>
            <w:r>
              <w:rPr>
                <w:rFonts w:hint="eastAsia"/>
                <w:color w:val="auto"/>
              </w:rPr>
              <w:br w:type="textWrapping"/>
            </w:r>
            <w:r>
              <w:rPr>
                <w:rFonts w:hint="eastAsia"/>
                <w:color w:val="auto"/>
              </w:rPr>
              <w:t>（一）超标准、超范围向群众筹资筹劳、摊派费用，加重群众负担的；（二）违反有关规定扣留、收缴群众款物或者处罚群众的；（三）克扣群众财物，或者违反有关规定拖欠群众钱款的；（四）在管理、服务活动中违反有关规定收取费用的；（五）在办理涉及群众事务时刁难群众、吃拿卡要的；（六）有其他侵害群众利益行为的。</w:t>
            </w:r>
          </w:p>
        </w:tc>
      </w:tr>
      <w:tr>
        <w:tblPrEx>
          <w:tblLayout w:type="fixed"/>
          <w:tblCellMar>
            <w:top w:w="57" w:type="dxa"/>
            <w:left w:w="57" w:type="dxa"/>
            <w:bottom w:w="57" w:type="dxa"/>
            <w:right w:w="57" w:type="dxa"/>
          </w:tblCellMar>
        </w:tblPrEx>
        <w:trPr>
          <w:trHeight w:val="1304" w:hRule="atLeast"/>
        </w:trPr>
        <w:tc>
          <w:tcPr>
            <w:tcW w:w="6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36</w:t>
            </w:r>
          </w:p>
        </w:tc>
        <w:tc>
          <w:tcPr>
            <w:tcW w:w="39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《山西省行政执法条例》</w:t>
            </w:r>
          </w:p>
        </w:tc>
        <w:tc>
          <w:tcPr>
            <w:tcW w:w="9498" w:type="dxa"/>
            <w:tcBorders>
              <w:top w:val="nil"/>
              <w:left w:val="nil"/>
              <w:bottom w:val="single" w:color="auto" w:sz="4" w:space="0"/>
              <w:right w:val="single" w:color="auto" w:sz="4" w:space="0"/>
            </w:tcBorders>
            <w:shd w:val="clear" w:color="auto" w:fill="auto"/>
            <w:vAlign w:val="center"/>
          </w:tcPr>
          <w:p>
            <w:pPr>
              <w:pStyle w:val="12"/>
              <w:jc w:val="left"/>
              <w:rPr>
                <w:bCs/>
                <w:color w:val="auto"/>
              </w:rPr>
            </w:pPr>
            <w:r>
              <w:rPr>
                <w:rFonts w:hint="eastAsia"/>
                <w:bCs/>
                <w:color w:val="auto"/>
              </w:rPr>
              <w:t>　   第四十条</w:t>
            </w:r>
            <w:r>
              <w:rPr>
                <w:rFonts w:hint="eastAsia"/>
                <w:color w:val="auto"/>
              </w:rPr>
              <w:t>　行政执法机关或其行政执法人员违反本条例第十三条规定的，由同级人民政府责令其限期改正，对直接负责的主管人员、其他直接责任人员给予通报批评，并由所在机关、上级主管机关或监察机关给予行政处分；构成犯罪的，依法追究刑事责任。</w:t>
            </w:r>
          </w:p>
        </w:tc>
      </w:tr>
      <w:tr>
        <w:tblPrEx>
          <w:tblLayout w:type="fixed"/>
          <w:tblCellMar>
            <w:top w:w="57" w:type="dxa"/>
            <w:left w:w="57" w:type="dxa"/>
            <w:bottom w:w="57" w:type="dxa"/>
            <w:right w:w="57" w:type="dxa"/>
          </w:tblCellMar>
        </w:tblPrEx>
        <w:trPr>
          <w:trHeight w:val="3061" w:hRule="atLeast"/>
        </w:trPr>
        <w:tc>
          <w:tcPr>
            <w:tcW w:w="6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37</w:t>
            </w:r>
          </w:p>
        </w:tc>
        <w:tc>
          <w:tcPr>
            <w:tcW w:w="39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《山西省行政执法条例》</w:t>
            </w:r>
          </w:p>
        </w:tc>
        <w:tc>
          <w:tcPr>
            <w:tcW w:w="9498" w:type="dxa"/>
            <w:tcBorders>
              <w:top w:val="nil"/>
              <w:left w:val="nil"/>
              <w:bottom w:val="single" w:color="auto" w:sz="4" w:space="0"/>
              <w:right w:val="single" w:color="auto" w:sz="4" w:space="0"/>
            </w:tcBorders>
            <w:shd w:val="clear" w:color="auto" w:fill="auto"/>
            <w:vAlign w:val="center"/>
          </w:tcPr>
          <w:p>
            <w:pPr>
              <w:pStyle w:val="12"/>
              <w:jc w:val="left"/>
              <w:rPr>
                <w:color w:val="auto"/>
              </w:rPr>
            </w:pPr>
            <w:r>
              <w:rPr>
                <w:rFonts w:hint="eastAsia"/>
                <w:bCs/>
                <w:color w:val="auto"/>
              </w:rPr>
              <w:t xml:space="preserve">    第四十一条　</w:t>
            </w:r>
            <w:r>
              <w:rPr>
                <w:rFonts w:hint="eastAsia"/>
                <w:color w:val="auto"/>
              </w:rPr>
              <w:t>对本条例第十三条所列行为，有关责任人员有故意或重大过失的，按下列规定承担行政责任：</w:t>
            </w:r>
            <w:r>
              <w:rPr>
                <w:rFonts w:hint="eastAsia"/>
                <w:color w:val="auto"/>
              </w:rPr>
              <w:br w:type="textWrapping"/>
            </w:r>
            <w:r>
              <w:rPr>
                <w:rFonts w:hint="eastAsia"/>
                <w:color w:val="auto"/>
              </w:rPr>
              <w:t>　　（一）具体承办人直接作出的行为，该承办人承担直接责任；</w:t>
            </w:r>
            <w:r>
              <w:rPr>
                <w:rFonts w:hint="eastAsia"/>
                <w:color w:val="auto"/>
              </w:rPr>
              <w:br w:type="textWrapping"/>
            </w:r>
            <w:r>
              <w:rPr>
                <w:rFonts w:hint="eastAsia"/>
                <w:color w:val="auto"/>
              </w:rPr>
              <w:t>　　（二）经审核、批准作出的行为，审核人、批准人承担主要责任，具体承办人承担次要责任，但由于具体承办人隐瞒真实情况致使审核人、批准人失误造成的行为，具体承办人承担主要责任，审核人、批准人承担次要责任；</w:t>
            </w:r>
            <w:r>
              <w:rPr>
                <w:rFonts w:hint="eastAsia"/>
                <w:color w:val="auto"/>
              </w:rPr>
              <w:br w:type="textWrapping"/>
            </w:r>
            <w:r>
              <w:rPr>
                <w:rFonts w:hint="eastAsia"/>
                <w:color w:val="auto"/>
              </w:rPr>
              <w:t>　　（三）因有关负责人直接干预所作的行为，该负责人承担主要责任，其他有关人员承担次要责任，但有关人员对该负责人的错误提出抵制意见的，不承担责任；</w:t>
            </w:r>
            <w:r>
              <w:rPr>
                <w:rFonts w:hint="eastAsia"/>
                <w:color w:val="auto"/>
              </w:rPr>
              <w:br w:type="textWrapping"/>
            </w:r>
            <w:r>
              <w:rPr>
                <w:rFonts w:hint="eastAsia"/>
                <w:color w:val="auto"/>
              </w:rPr>
              <w:t>　　（四）经过行政执法机关负责人集体讨论决定作出的行为，主持讨论的负责人承担主要责任，未提出抵制意见的其他有关人员承担次要责任。</w:t>
            </w:r>
            <w:r>
              <w:rPr>
                <w:rFonts w:hint="eastAsia"/>
                <w:color w:val="auto"/>
              </w:rPr>
              <w:br w:type="textWrapping"/>
            </w:r>
            <w:r>
              <w:rPr>
                <w:rFonts w:hint="eastAsia"/>
                <w:color w:val="auto"/>
              </w:rPr>
              <w:t>　　（五）对造成严重后果的行为，作出该行为的行政执法机关主要负责人和直接负责的主管人员承担相应领导责任。</w:t>
            </w:r>
          </w:p>
        </w:tc>
      </w:tr>
      <w:tr>
        <w:tblPrEx>
          <w:tblLayout w:type="fixed"/>
          <w:tblCellMar>
            <w:top w:w="57" w:type="dxa"/>
            <w:left w:w="57" w:type="dxa"/>
            <w:bottom w:w="57" w:type="dxa"/>
            <w:right w:w="57" w:type="dxa"/>
          </w:tblCellMar>
        </w:tblPrEx>
        <w:trPr>
          <w:trHeight w:val="1020" w:hRule="atLeast"/>
        </w:trPr>
        <w:tc>
          <w:tcPr>
            <w:tcW w:w="6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38</w:t>
            </w:r>
          </w:p>
        </w:tc>
        <w:tc>
          <w:tcPr>
            <w:tcW w:w="39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《山西省行政执法条例》</w:t>
            </w:r>
          </w:p>
        </w:tc>
        <w:tc>
          <w:tcPr>
            <w:tcW w:w="9498" w:type="dxa"/>
            <w:tcBorders>
              <w:top w:val="nil"/>
              <w:left w:val="nil"/>
              <w:bottom w:val="single" w:color="auto" w:sz="4" w:space="0"/>
              <w:right w:val="single" w:color="auto" w:sz="4" w:space="0"/>
            </w:tcBorders>
            <w:shd w:val="clear" w:color="auto" w:fill="auto"/>
            <w:vAlign w:val="center"/>
          </w:tcPr>
          <w:p>
            <w:pPr>
              <w:pStyle w:val="12"/>
              <w:ind w:firstLine="360" w:firstLineChars="200"/>
              <w:jc w:val="left"/>
              <w:rPr>
                <w:color w:val="auto"/>
              </w:rPr>
            </w:pPr>
            <w:r>
              <w:rPr>
                <w:rFonts w:hint="eastAsia"/>
                <w:bCs/>
                <w:color w:val="auto"/>
              </w:rPr>
              <w:t>第四十二条</w:t>
            </w:r>
            <w:r>
              <w:rPr>
                <w:rFonts w:hint="eastAsia"/>
                <w:color w:val="auto"/>
              </w:rPr>
              <w:t xml:space="preserve"> 行政执法机关及其行政执法人员违法行使职权，侵害公民、法人和其他组织的合法权益，造成损害的，应当依法予以赔偿。</w:t>
            </w:r>
          </w:p>
        </w:tc>
      </w:tr>
      <w:tr>
        <w:tblPrEx>
          <w:tblLayout w:type="fixed"/>
          <w:tblCellMar>
            <w:top w:w="57" w:type="dxa"/>
            <w:left w:w="57" w:type="dxa"/>
            <w:bottom w:w="57" w:type="dxa"/>
            <w:right w:w="57" w:type="dxa"/>
          </w:tblCellMar>
        </w:tblPrEx>
        <w:trPr>
          <w:trHeight w:val="3345" w:hRule="atLeast"/>
        </w:trPr>
        <w:tc>
          <w:tcPr>
            <w:tcW w:w="6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39</w:t>
            </w:r>
          </w:p>
        </w:tc>
        <w:tc>
          <w:tcPr>
            <w:tcW w:w="39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《行政机关公务员处分条例》</w:t>
            </w:r>
          </w:p>
        </w:tc>
        <w:tc>
          <w:tcPr>
            <w:tcW w:w="9498" w:type="dxa"/>
            <w:tcBorders>
              <w:top w:val="nil"/>
              <w:left w:val="nil"/>
              <w:bottom w:val="single" w:color="auto" w:sz="4" w:space="0"/>
              <w:right w:val="single" w:color="auto" w:sz="4" w:space="0"/>
            </w:tcBorders>
            <w:shd w:val="clear" w:color="auto" w:fill="auto"/>
            <w:vAlign w:val="center"/>
          </w:tcPr>
          <w:p>
            <w:pPr>
              <w:pStyle w:val="12"/>
              <w:ind w:firstLine="360" w:firstLineChars="200"/>
              <w:jc w:val="left"/>
              <w:rPr>
                <w:color w:val="auto"/>
              </w:rPr>
            </w:pPr>
            <w:r>
              <w:rPr>
                <w:rFonts w:hint="eastAsia"/>
                <w:bCs/>
                <w:color w:val="auto"/>
              </w:rPr>
              <w:t>第十九条</w:t>
            </w:r>
            <w:r>
              <w:rPr>
                <w:rFonts w:hint="eastAsia"/>
                <w:color w:val="auto"/>
              </w:rPr>
              <w:t xml:space="preserve"> 有下列行为之一的，给予警告、记过或者记大过处分；情节较重的，给予降级或者撤职处分；情节严重的，给予开除处分：</w:t>
            </w:r>
            <w:r>
              <w:rPr>
                <w:rFonts w:hint="eastAsia"/>
                <w:color w:val="auto"/>
              </w:rPr>
              <w:br w:type="textWrapping"/>
            </w:r>
            <w:r>
              <w:rPr>
                <w:rFonts w:hint="eastAsia"/>
                <w:color w:val="auto"/>
              </w:rPr>
              <w:t xml:space="preserve">    （一）负有领导责任的公务员违反议事规则，个人或者少数人决定重大事项，或者改变集体作出的重大决定的；</w:t>
            </w:r>
            <w:r>
              <w:rPr>
                <w:rFonts w:hint="eastAsia"/>
                <w:color w:val="auto"/>
              </w:rPr>
              <w:br w:type="textWrapping"/>
            </w:r>
            <w:r>
              <w:rPr>
                <w:rFonts w:hint="eastAsia"/>
                <w:color w:val="auto"/>
              </w:rPr>
              <w:t xml:space="preserve">    （二）拒绝执行上级依法作出的决定、命令的；</w:t>
            </w:r>
            <w:r>
              <w:rPr>
                <w:rFonts w:hint="eastAsia"/>
                <w:color w:val="auto"/>
              </w:rPr>
              <w:br w:type="textWrapping"/>
            </w:r>
            <w:r>
              <w:rPr>
                <w:rFonts w:hint="eastAsia"/>
                <w:color w:val="auto"/>
              </w:rPr>
              <w:t xml:space="preserve">    （三）拒不执行机关的交流决定的；</w:t>
            </w:r>
            <w:r>
              <w:rPr>
                <w:rFonts w:hint="eastAsia"/>
                <w:color w:val="auto"/>
              </w:rPr>
              <w:br w:type="textWrapping"/>
            </w:r>
            <w:r>
              <w:rPr>
                <w:rFonts w:hint="eastAsia"/>
                <w:color w:val="auto"/>
              </w:rPr>
              <w:t xml:space="preserve">    （四）拒不执行人民法院对行政案件的判决、裁定或者监察机关、审计机关、行政复议机关作出的决定的；</w:t>
            </w:r>
            <w:r>
              <w:rPr>
                <w:rFonts w:hint="eastAsia"/>
                <w:color w:val="auto"/>
              </w:rPr>
              <w:br w:type="textWrapping"/>
            </w:r>
            <w:r>
              <w:rPr>
                <w:rFonts w:hint="eastAsia"/>
                <w:color w:val="auto"/>
              </w:rPr>
              <w:t xml:space="preserve">    （五）违反规定应当回避而不回避，影响公正执行公务，造成不良后果的；</w:t>
            </w:r>
            <w:r>
              <w:rPr>
                <w:rFonts w:hint="eastAsia"/>
                <w:color w:val="auto"/>
              </w:rPr>
              <w:br w:type="textWrapping"/>
            </w:r>
            <w:r>
              <w:rPr>
                <w:rFonts w:hint="eastAsia"/>
                <w:color w:val="auto"/>
              </w:rPr>
              <w:t xml:space="preserve">    （六）离任、辞职或者被辞退时，拒不办理公务交接手续或者拒不接受审计的；</w:t>
            </w:r>
            <w:r>
              <w:rPr>
                <w:rFonts w:hint="eastAsia"/>
                <w:color w:val="auto"/>
              </w:rPr>
              <w:br w:type="textWrapping"/>
            </w:r>
            <w:r>
              <w:rPr>
                <w:rFonts w:hint="eastAsia"/>
                <w:color w:val="auto"/>
              </w:rPr>
              <w:t xml:space="preserve">    （七）旷工或者因公外出、请假期满无正当理由逾期不归，造成不良影响的；</w:t>
            </w:r>
            <w:r>
              <w:rPr>
                <w:rFonts w:hint="eastAsia"/>
                <w:color w:val="auto"/>
              </w:rPr>
              <w:br w:type="textWrapping"/>
            </w:r>
            <w:r>
              <w:rPr>
                <w:rFonts w:hint="eastAsia"/>
                <w:color w:val="auto"/>
              </w:rPr>
              <w:t xml:space="preserve">    （八）其他违反组织纪律的行为。</w:t>
            </w:r>
          </w:p>
        </w:tc>
      </w:tr>
      <w:tr>
        <w:tblPrEx>
          <w:tblLayout w:type="fixed"/>
          <w:tblCellMar>
            <w:top w:w="57" w:type="dxa"/>
            <w:left w:w="57" w:type="dxa"/>
            <w:bottom w:w="57" w:type="dxa"/>
            <w:right w:w="57" w:type="dxa"/>
          </w:tblCellMar>
        </w:tblPrEx>
        <w:trPr>
          <w:trHeight w:val="2665" w:hRule="atLeast"/>
        </w:trPr>
        <w:tc>
          <w:tcPr>
            <w:tcW w:w="6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40</w:t>
            </w:r>
          </w:p>
        </w:tc>
        <w:tc>
          <w:tcPr>
            <w:tcW w:w="39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《行政机关公务员处分条例》</w:t>
            </w:r>
          </w:p>
        </w:tc>
        <w:tc>
          <w:tcPr>
            <w:tcW w:w="9498" w:type="dxa"/>
            <w:tcBorders>
              <w:top w:val="nil"/>
              <w:left w:val="nil"/>
              <w:bottom w:val="single" w:color="auto" w:sz="4" w:space="0"/>
              <w:right w:val="single" w:color="auto" w:sz="4" w:space="0"/>
            </w:tcBorders>
            <w:shd w:val="clear" w:color="auto" w:fill="auto"/>
            <w:vAlign w:val="center"/>
          </w:tcPr>
          <w:p>
            <w:pPr>
              <w:pStyle w:val="12"/>
              <w:jc w:val="left"/>
              <w:rPr>
                <w:bCs/>
                <w:color w:val="auto"/>
              </w:rPr>
            </w:pPr>
            <w:r>
              <w:rPr>
                <w:rFonts w:hint="eastAsia"/>
                <w:bCs/>
                <w:color w:val="auto"/>
              </w:rPr>
              <w:t xml:space="preserve">    第二十条</w:t>
            </w:r>
            <w:r>
              <w:rPr>
                <w:rFonts w:hint="eastAsia"/>
                <w:color w:val="auto"/>
              </w:rPr>
              <w:t xml:space="preserve"> 有下列行为之一的，给予记过、记大过处分；情节较重的，给予降级或者撤职处分；情节严重的，给予开除处分：</w:t>
            </w:r>
            <w:r>
              <w:rPr>
                <w:rFonts w:hint="eastAsia"/>
                <w:color w:val="auto"/>
              </w:rPr>
              <w:br w:type="textWrapping"/>
            </w:r>
            <w:r>
              <w:rPr>
                <w:rFonts w:hint="eastAsia"/>
                <w:color w:val="auto"/>
              </w:rPr>
              <w:t xml:space="preserve">    （一）不依法履行职责，致使可以避免的爆炸、火灾、传染病传播流行、严重环境污染、严重人员伤亡等重大事故或者群体性事件发生的；</w:t>
            </w:r>
            <w:r>
              <w:rPr>
                <w:rFonts w:hint="eastAsia"/>
                <w:color w:val="auto"/>
              </w:rPr>
              <w:br w:type="textWrapping"/>
            </w:r>
            <w:r>
              <w:rPr>
                <w:rFonts w:hint="eastAsia"/>
                <w:color w:val="auto"/>
              </w:rPr>
              <w:t xml:space="preserve">    （二）发生重大事故、灾害、事件或者重大刑事案件、治安案件，不按规定报告、处理的；</w:t>
            </w:r>
            <w:r>
              <w:rPr>
                <w:rFonts w:hint="eastAsia"/>
                <w:color w:val="auto"/>
              </w:rPr>
              <w:br w:type="textWrapping"/>
            </w:r>
            <w:r>
              <w:rPr>
                <w:rFonts w:hint="eastAsia"/>
                <w:color w:val="auto"/>
              </w:rPr>
              <w:t xml:space="preserve">    （三）对救灾、抢险、防汛、防疫、优抚、扶贫、移民、救济、社会保险、征地补偿等专项款物疏于管理，致使款物被贪污、挪用，或者毁损、灭失的；</w:t>
            </w:r>
            <w:r>
              <w:rPr>
                <w:rFonts w:hint="eastAsia"/>
                <w:color w:val="auto"/>
              </w:rPr>
              <w:br w:type="textWrapping"/>
            </w:r>
            <w:r>
              <w:rPr>
                <w:rFonts w:hint="eastAsia"/>
                <w:color w:val="auto"/>
              </w:rPr>
              <w:t xml:space="preserve">    （四）其他玩忽职守、贻误工作的行为。  </w:t>
            </w:r>
          </w:p>
        </w:tc>
      </w:tr>
      <w:tr>
        <w:tblPrEx>
          <w:tblLayout w:type="fixed"/>
          <w:tblCellMar>
            <w:top w:w="57" w:type="dxa"/>
            <w:left w:w="57" w:type="dxa"/>
            <w:bottom w:w="57" w:type="dxa"/>
            <w:right w:w="57" w:type="dxa"/>
          </w:tblCellMar>
        </w:tblPrEx>
        <w:trPr>
          <w:trHeight w:val="2268" w:hRule="atLeast"/>
        </w:trPr>
        <w:tc>
          <w:tcPr>
            <w:tcW w:w="6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41</w:t>
            </w:r>
          </w:p>
        </w:tc>
        <w:tc>
          <w:tcPr>
            <w:tcW w:w="39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《行政机关公务员处分条例》</w:t>
            </w:r>
          </w:p>
        </w:tc>
        <w:tc>
          <w:tcPr>
            <w:tcW w:w="9498" w:type="dxa"/>
            <w:tcBorders>
              <w:top w:val="nil"/>
              <w:left w:val="nil"/>
              <w:bottom w:val="single" w:color="auto" w:sz="4" w:space="0"/>
              <w:right w:val="single" w:color="auto" w:sz="4" w:space="0"/>
            </w:tcBorders>
            <w:shd w:val="clear" w:color="auto" w:fill="auto"/>
            <w:vAlign w:val="center"/>
          </w:tcPr>
          <w:p>
            <w:pPr>
              <w:pStyle w:val="12"/>
              <w:jc w:val="left"/>
              <w:rPr>
                <w:bCs/>
                <w:color w:val="auto"/>
              </w:rPr>
            </w:pPr>
            <w:r>
              <w:rPr>
                <w:rFonts w:hint="eastAsia"/>
                <w:bCs/>
                <w:color w:val="auto"/>
              </w:rPr>
              <w:t xml:space="preserve">    第二十一条</w:t>
            </w:r>
            <w:r>
              <w:rPr>
                <w:rFonts w:hint="eastAsia"/>
                <w:color w:val="auto"/>
              </w:rPr>
              <w:t xml:space="preserve"> 有下列行为之一的，给予警告或者记过处分；情节较重的，给予记大过或者降级处分；情节严重的，给予撤职处分：</w:t>
            </w:r>
            <w:r>
              <w:rPr>
                <w:rFonts w:hint="eastAsia"/>
                <w:color w:val="auto"/>
              </w:rPr>
              <w:br w:type="textWrapping"/>
            </w:r>
            <w:r>
              <w:rPr>
                <w:rFonts w:hint="eastAsia"/>
                <w:color w:val="auto"/>
              </w:rPr>
              <w:t xml:space="preserve">    （一）在行政许可工作中违反法定权限、条件和程序设定或者实施行政许可的；</w:t>
            </w:r>
            <w:r>
              <w:rPr>
                <w:rFonts w:hint="eastAsia"/>
                <w:color w:val="auto"/>
              </w:rPr>
              <w:br w:type="textWrapping"/>
            </w:r>
            <w:r>
              <w:rPr>
                <w:rFonts w:hint="eastAsia"/>
                <w:color w:val="auto"/>
              </w:rPr>
              <w:t xml:space="preserve">    （二）违法设定或者实施行政强制措施的；</w:t>
            </w:r>
            <w:r>
              <w:rPr>
                <w:rFonts w:hint="eastAsia"/>
                <w:color w:val="auto"/>
              </w:rPr>
              <w:br w:type="textWrapping"/>
            </w:r>
            <w:r>
              <w:rPr>
                <w:rFonts w:hint="eastAsia"/>
                <w:color w:val="auto"/>
              </w:rPr>
              <w:t xml:space="preserve">    （三）违法设定或者实施行政处罚的；</w:t>
            </w:r>
            <w:r>
              <w:rPr>
                <w:rFonts w:hint="eastAsia"/>
                <w:color w:val="auto"/>
              </w:rPr>
              <w:br w:type="textWrapping"/>
            </w:r>
            <w:r>
              <w:rPr>
                <w:rFonts w:hint="eastAsia"/>
                <w:color w:val="auto"/>
              </w:rPr>
              <w:t xml:space="preserve">    （四）违反法律、法规规定进行行政委托的；</w:t>
            </w:r>
            <w:r>
              <w:rPr>
                <w:rFonts w:hint="eastAsia"/>
                <w:color w:val="auto"/>
              </w:rPr>
              <w:br w:type="textWrapping"/>
            </w:r>
            <w:r>
              <w:rPr>
                <w:rFonts w:hint="eastAsia"/>
                <w:color w:val="auto"/>
              </w:rPr>
              <w:t xml:space="preserve">    （五）对需要政府、政府部门决定的招标投标、征收征用、城市房屋拆迁、拍卖等事项违反规定办理的。  </w:t>
            </w:r>
          </w:p>
        </w:tc>
      </w:tr>
      <w:tr>
        <w:tblPrEx>
          <w:tblLayout w:type="fixed"/>
          <w:tblCellMar>
            <w:top w:w="57" w:type="dxa"/>
            <w:left w:w="57" w:type="dxa"/>
            <w:bottom w:w="57" w:type="dxa"/>
            <w:right w:w="57" w:type="dxa"/>
          </w:tblCellMar>
        </w:tblPrEx>
        <w:trPr>
          <w:trHeight w:val="850" w:hRule="atLeast"/>
        </w:trPr>
        <w:tc>
          <w:tcPr>
            <w:tcW w:w="6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42</w:t>
            </w:r>
          </w:p>
        </w:tc>
        <w:tc>
          <w:tcPr>
            <w:tcW w:w="39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《行政机关公务员处分条例》</w:t>
            </w:r>
          </w:p>
        </w:tc>
        <w:tc>
          <w:tcPr>
            <w:tcW w:w="9498" w:type="dxa"/>
            <w:tcBorders>
              <w:top w:val="nil"/>
              <w:left w:val="nil"/>
              <w:bottom w:val="single" w:color="auto" w:sz="4" w:space="0"/>
              <w:right w:val="single" w:color="auto" w:sz="4" w:space="0"/>
            </w:tcBorders>
            <w:shd w:val="clear" w:color="auto" w:fill="auto"/>
            <w:vAlign w:val="center"/>
          </w:tcPr>
          <w:p>
            <w:pPr>
              <w:pStyle w:val="12"/>
              <w:jc w:val="left"/>
              <w:rPr>
                <w:bCs/>
                <w:color w:val="auto"/>
              </w:rPr>
            </w:pPr>
            <w:r>
              <w:rPr>
                <w:rFonts w:hint="eastAsia"/>
                <w:bCs/>
                <w:color w:val="auto"/>
              </w:rPr>
              <w:t xml:space="preserve">    第二十二条</w:t>
            </w:r>
            <w:r>
              <w:rPr>
                <w:rFonts w:hint="eastAsia"/>
                <w:color w:val="auto"/>
              </w:rPr>
              <w:t xml:space="preserve"> 弄虚作假，误导、欺骗领导和公众，造成不良后果的，给予警告、记过或者记大过处分；情节较重的，给予降级或者撤职处分；情节严重的，给予开除处分。 </w:t>
            </w:r>
          </w:p>
        </w:tc>
      </w:tr>
      <w:tr>
        <w:tblPrEx>
          <w:tblLayout w:type="fixed"/>
          <w:tblCellMar>
            <w:top w:w="57" w:type="dxa"/>
            <w:left w:w="57" w:type="dxa"/>
            <w:bottom w:w="57" w:type="dxa"/>
            <w:right w:w="57" w:type="dxa"/>
          </w:tblCellMar>
        </w:tblPrEx>
        <w:trPr>
          <w:trHeight w:val="1134" w:hRule="atLeast"/>
        </w:trPr>
        <w:tc>
          <w:tcPr>
            <w:tcW w:w="6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43</w:t>
            </w:r>
          </w:p>
        </w:tc>
        <w:tc>
          <w:tcPr>
            <w:tcW w:w="39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《行政机关公务员处分条例》</w:t>
            </w:r>
          </w:p>
        </w:tc>
        <w:tc>
          <w:tcPr>
            <w:tcW w:w="9498" w:type="dxa"/>
            <w:tcBorders>
              <w:top w:val="nil"/>
              <w:left w:val="nil"/>
              <w:bottom w:val="single" w:color="auto" w:sz="4" w:space="0"/>
              <w:right w:val="single" w:color="auto" w:sz="4" w:space="0"/>
            </w:tcBorders>
            <w:shd w:val="clear" w:color="auto" w:fill="auto"/>
            <w:vAlign w:val="center"/>
          </w:tcPr>
          <w:p>
            <w:pPr>
              <w:pStyle w:val="12"/>
              <w:jc w:val="left"/>
              <w:rPr>
                <w:bCs/>
                <w:color w:val="auto"/>
              </w:rPr>
            </w:pPr>
            <w:r>
              <w:rPr>
                <w:rFonts w:hint="eastAsia"/>
                <w:bCs/>
                <w:color w:val="auto"/>
              </w:rPr>
              <w:t xml:space="preserve">    第二十三条</w:t>
            </w:r>
            <w:r>
              <w:rPr>
                <w:rFonts w:hint="eastAsia"/>
                <w:color w:val="auto"/>
              </w:rPr>
              <w:t xml:space="preserve"> 有贪污、索贿、受贿、行贿、介绍贿赂、挪用公款、利用职务之便为自己或者他人谋取私利、巨额财产来源不明等违反廉政纪律行为的，给予记过或者记大过处分；情节较重的，给予降级或者撤职处分；情节严重的，给予开除处分。 </w:t>
            </w:r>
          </w:p>
        </w:tc>
      </w:tr>
      <w:tr>
        <w:tblPrEx>
          <w:tblLayout w:type="fixed"/>
          <w:tblCellMar>
            <w:top w:w="57" w:type="dxa"/>
            <w:left w:w="57" w:type="dxa"/>
            <w:bottom w:w="57" w:type="dxa"/>
            <w:right w:w="57" w:type="dxa"/>
          </w:tblCellMar>
        </w:tblPrEx>
        <w:trPr>
          <w:trHeight w:val="964" w:hRule="atLeast"/>
        </w:trPr>
        <w:tc>
          <w:tcPr>
            <w:tcW w:w="6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44</w:t>
            </w:r>
          </w:p>
        </w:tc>
        <w:tc>
          <w:tcPr>
            <w:tcW w:w="39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《行政机关公务员处分条例》</w:t>
            </w:r>
          </w:p>
        </w:tc>
        <w:tc>
          <w:tcPr>
            <w:tcW w:w="9498" w:type="dxa"/>
            <w:tcBorders>
              <w:top w:val="nil"/>
              <w:left w:val="nil"/>
              <w:bottom w:val="single" w:color="auto" w:sz="4" w:space="0"/>
              <w:right w:val="single" w:color="auto" w:sz="4" w:space="0"/>
            </w:tcBorders>
            <w:shd w:val="clear" w:color="auto" w:fill="auto"/>
            <w:vAlign w:val="center"/>
          </w:tcPr>
          <w:p>
            <w:pPr>
              <w:pStyle w:val="12"/>
              <w:jc w:val="left"/>
              <w:rPr>
                <w:bCs/>
                <w:color w:val="auto"/>
              </w:rPr>
            </w:pPr>
            <w:r>
              <w:rPr>
                <w:rFonts w:hint="eastAsia"/>
                <w:bCs/>
                <w:color w:val="auto"/>
              </w:rPr>
              <w:t xml:space="preserve">    第二十四条</w:t>
            </w:r>
            <w:r>
              <w:rPr>
                <w:rFonts w:hint="eastAsia"/>
                <w:color w:val="auto"/>
              </w:rPr>
              <w:t xml:space="preserve"> 违反财经纪律，挥霍浪费国家资财的，给予警告处分；情节较重的，给予记过或者记大过处分；情节严重的，给予降级或者撤职处分。  </w:t>
            </w:r>
          </w:p>
        </w:tc>
      </w:tr>
      <w:tr>
        <w:tblPrEx>
          <w:tblLayout w:type="fixed"/>
          <w:tblCellMar>
            <w:top w:w="57" w:type="dxa"/>
            <w:left w:w="57" w:type="dxa"/>
            <w:bottom w:w="57" w:type="dxa"/>
            <w:right w:w="57" w:type="dxa"/>
          </w:tblCellMar>
        </w:tblPrEx>
        <w:trPr>
          <w:trHeight w:val="2438" w:hRule="atLeast"/>
        </w:trPr>
        <w:tc>
          <w:tcPr>
            <w:tcW w:w="6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45</w:t>
            </w:r>
          </w:p>
        </w:tc>
        <w:tc>
          <w:tcPr>
            <w:tcW w:w="39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《行政机关公务员处分条例》</w:t>
            </w:r>
          </w:p>
        </w:tc>
        <w:tc>
          <w:tcPr>
            <w:tcW w:w="9498" w:type="dxa"/>
            <w:tcBorders>
              <w:top w:val="nil"/>
              <w:left w:val="nil"/>
              <w:bottom w:val="single" w:color="auto" w:sz="4" w:space="0"/>
              <w:right w:val="single" w:color="auto" w:sz="4" w:space="0"/>
            </w:tcBorders>
            <w:shd w:val="clear" w:color="auto" w:fill="auto"/>
            <w:vAlign w:val="center"/>
          </w:tcPr>
          <w:p>
            <w:pPr>
              <w:pStyle w:val="12"/>
              <w:jc w:val="left"/>
              <w:rPr>
                <w:bCs/>
                <w:color w:val="auto"/>
              </w:rPr>
            </w:pPr>
            <w:r>
              <w:rPr>
                <w:rFonts w:hint="eastAsia"/>
                <w:bCs/>
                <w:color w:val="auto"/>
              </w:rPr>
              <w:t xml:space="preserve">    第二十五</w:t>
            </w:r>
            <w:r>
              <w:rPr>
                <w:rFonts w:hint="eastAsia"/>
                <w:color w:val="auto"/>
              </w:rPr>
              <w:t xml:space="preserve"> 条有下列行为之一的，给予记过或者记大过处分；情节较重的，给予降级或者撤职处分；情节严重的，给予开除处分：</w:t>
            </w:r>
            <w:r>
              <w:rPr>
                <w:rFonts w:hint="eastAsia"/>
                <w:color w:val="auto"/>
              </w:rPr>
              <w:br w:type="textWrapping"/>
            </w:r>
            <w:r>
              <w:rPr>
                <w:rFonts w:hint="eastAsia"/>
                <w:color w:val="auto"/>
              </w:rPr>
              <w:t xml:space="preserve">    （一）以殴打、体罚、非法拘禁等方式侵犯公民人身权利的；</w:t>
            </w:r>
            <w:r>
              <w:rPr>
                <w:rFonts w:hint="eastAsia"/>
                <w:color w:val="auto"/>
              </w:rPr>
              <w:br w:type="textWrapping"/>
            </w:r>
            <w:r>
              <w:rPr>
                <w:rFonts w:hint="eastAsia"/>
                <w:color w:val="auto"/>
              </w:rPr>
              <w:t xml:space="preserve">    （二）压制批评，打击报复，扣压、销毁举报信件，或者向被举报人透露举报情况的；</w:t>
            </w:r>
            <w:r>
              <w:rPr>
                <w:rFonts w:hint="eastAsia"/>
                <w:color w:val="auto"/>
              </w:rPr>
              <w:br w:type="textWrapping"/>
            </w:r>
            <w:r>
              <w:rPr>
                <w:rFonts w:hint="eastAsia"/>
                <w:color w:val="auto"/>
              </w:rPr>
              <w:t xml:space="preserve">    （三）违反规定向公民、法人或者其他组织摊派或者收取财物的；</w:t>
            </w:r>
            <w:r>
              <w:rPr>
                <w:rFonts w:hint="eastAsia"/>
                <w:color w:val="auto"/>
              </w:rPr>
              <w:br w:type="textWrapping"/>
            </w:r>
            <w:r>
              <w:rPr>
                <w:rFonts w:hint="eastAsia"/>
                <w:color w:val="auto"/>
              </w:rPr>
              <w:t xml:space="preserve">    （四）妨碍执行公务或者违反规定干预执行公务的；</w:t>
            </w:r>
            <w:r>
              <w:rPr>
                <w:rFonts w:hint="eastAsia"/>
                <w:color w:val="auto"/>
              </w:rPr>
              <w:br w:type="textWrapping"/>
            </w:r>
            <w:r>
              <w:rPr>
                <w:rFonts w:hint="eastAsia"/>
                <w:color w:val="auto"/>
              </w:rPr>
              <w:t xml:space="preserve">    （五）其他滥用职权，侵害公民、法人或者其他组织合法权益的行为。 </w:t>
            </w:r>
          </w:p>
        </w:tc>
      </w:tr>
      <w:tr>
        <w:tblPrEx>
          <w:tblLayout w:type="fixed"/>
          <w:tblCellMar>
            <w:top w:w="57" w:type="dxa"/>
            <w:left w:w="57" w:type="dxa"/>
            <w:bottom w:w="57" w:type="dxa"/>
            <w:right w:w="57" w:type="dxa"/>
          </w:tblCellMar>
        </w:tblPrEx>
        <w:trPr>
          <w:trHeight w:val="840" w:hRule="atLeast"/>
        </w:trPr>
        <w:tc>
          <w:tcPr>
            <w:tcW w:w="6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46</w:t>
            </w:r>
          </w:p>
        </w:tc>
        <w:tc>
          <w:tcPr>
            <w:tcW w:w="39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《行政机关公务员处分条例》</w:t>
            </w:r>
          </w:p>
        </w:tc>
        <w:tc>
          <w:tcPr>
            <w:tcW w:w="9498" w:type="dxa"/>
            <w:tcBorders>
              <w:top w:val="nil"/>
              <w:left w:val="nil"/>
              <w:bottom w:val="single" w:color="auto" w:sz="4" w:space="0"/>
              <w:right w:val="single" w:color="auto" w:sz="4" w:space="0"/>
            </w:tcBorders>
            <w:shd w:val="clear" w:color="auto" w:fill="auto"/>
            <w:vAlign w:val="center"/>
          </w:tcPr>
          <w:p>
            <w:pPr>
              <w:pStyle w:val="12"/>
              <w:jc w:val="left"/>
              <w:rPr>
                <w:bCs/>
                <w:color w:val="auto"/>
              </w:rPr>
            </w:pPr>
            <w:r>
              <w:rPr>
                <w:rFonts w:hint="eastAsia"/>
                <w:bCs/>
                <w:color w:val="auto"/>
              </w:rPr>
              <w:t xml:space="preserve">    第二十六条</w:t>
            </w:r>
            <w:r>
              <w:rPr>
                <w:rFonts w:hint="eastAsia"/>
                <w:color w:val="auto"/>
              </w:rPr>
              <w:t xml:space="preserve"> 泄露国家秘密、工作秘密，或者泄露因履行职责掌握的商业秘密、个人隐私，造成不良后果的，给予警告、记过或者记大过处分；情节较重的，给予降级或者撤职处分；情节严重的，给予开除处分。 </w:t>
            </w:r>
          </w:p>
        </w:tc>
      </w:tr>
      <w:tr>
        <w:tblPrEx>
          <w:tblLayout w:type="fixed"/>
          <w:tblCellMar>
            <w:top w:w="57" w:type="dxa"/>
            <w:left w:w="57" w:type="dxa"/>
            <w:bottom w:w="57" w:type="dxa"/>
            <w:right w:w="57" w:type="dxa"/>
          </w:tblCellMar>
        </w:tblPrEx>
        <w:trPr>
          <w:trHeight w:val="794" w:hRule="atLeast"/>
        </w:trPr>
        <w:tc>
          <w:tcPr>
            <w:tcW w:w="6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47</w:t>
            </w:r>
          </w:p>
        </w:tc>
        <w:tc>
          <w:tcPr>
            <w:tcW w:w="39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《行政机关公务员处分条例》</w:t>
            </w:r>
          </w:p>
        </w:tc>
        <w:tc>
          <w:tcPr>
            <w:tcW w:w="9498" w:type="dxa"/>
            <w:tcBorders>
              <w:top w:val="nil"/>
              <w:left w:val="nil"/>
              <w:bottom w:val="single" w:color="auto" w:sz="4" w:space="0"/>
              <w:right w:val="single" w:color="auto" w:sz="4" w:space="0"/>
            </w:tcBorders>
            <w:shd w:val="clear" w:color="auto" w:fill="auto"/>
            <w:vAlign w:val="center"/>
          </w:tcPr>
          <w:p>
            <w:pPr>
              <w:pStyle w:val="12"/>
              <w:jc w:val="left"/>
              <w:rPr>
                <w:bCs/>
                <w:color w:val="auto"/>
              </w:rPr>
            </w:pPr>
            <w:r>
              <w:rPr>
                <w:rFonts w:hint="eastAsia"/>
                <w:bCs/>
                <w:color w:val="auto"/>
              </w:rPr>
              <w:t xml:space="preserve">    第二十七条</w:t>
            </w:r>
            <w:r>
              <w:rPr>
                <w:rFonts w:hint="eastAsia"/>
                <w:color w:val="auto"/>
              </w:rPr>
              <w:t xml:space="preserve"> 从事或者参与营利性活动，在企业或者其他营利性组织中兼任职务的，给予记过或者记大过处分；情节较重的，给予降级或者撤职处分；情节严重的，给予开除处分。 </w:t>
            </w:r>
          </w:p>
        </w:tc>
      </w:tr>
      <w:tr>
        <w:tblPrEx>
          <w:tblLayout w:type="fixed"/>
          <w:tblCellMar>
            <w:top w:w="57" w:type="dxa"/>
            <w:left w:w="57" w:type="dxa"/>
            <w:bottom w:w="57" w:type="dxa"/>
            <w:right w:w="57" w:type="dxa"/>
          </w:tblCellMar>
        </w:tblPrEx>
        <w:trPr>
          <w:trHeight w:val="794" w:hRule="atLeast"/>
        </w:trPr>
        <w:tc>
          <w:tcPr>
            <w:tcW w:w="6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48</w:t>
            </w:r>
          </w:p>
        </w:tc>
        <w:tc>
          <w:tcPr>
            <w:tcW w:w="39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《行政机关公务员处分条例》</w:t>
            </w:r>
          </w:p>
        </w:tc>
        <w:tc>
          <w:tcPr>
            <w:tcW w:w="9498" w:type="dxa"/>
            <w:tcBorders>
              <w:top w:val="nil"/>
              <w:left w:val="nil"/>
              <w:bottom w:val="single" w:color="auto" w:sz="4" w:space="0"/>
              <w:right w:val="single" w:color="auto" w:sz="4" w:space="0"/>
            </w:tcBorders>
            <w:shd w:val="clear" w:color="auto" w:fill="auto"/>
            <w:vAlign w:val="center"/>
          </w:tcPr>
          <w:p>
            <w:pPr>
              <w:pStyle w:val="12"/>
              <w:jc w:val="left"/>
              <w:rPr>
                <w:bCs/>
                <w:color w:val="auto"/>
              </w:rPr>
            </w:pPr>
            <w:r>
              <w:rPr>
                <w:rFonts w:hint="eastAsia"/>
                <w:bCs/>
                <w:color w:val="auto"/>
              </w:rPr>
              <w:t xml:space="preserve">    第二十八条</w:t>
            </w:r>
            <w:r>
              <w:rPr>
                <w:rFonts w:hint="eastAsia"/>
                <w:color w:val="auto"/>
              </w:rPr>
              <w:t xml:space="preserve"> 严重违反公务员职业道德，工作作风懈怠、工作态度恶劣，造成不良影响的，给予警告、记过或者记大过处分。</w:t>
            </w:r>
          </w:p>
        </w:tc>
      </w:tr>
      <w:tr>
        <w:tblPrEx>
          <w:tblLayout w:type="fixed"/>
          <w:tblCellMar>
            <w:top w:w="57" w:type="dxa"/>
            <w:left w:w="57" w:type="dxa"/>
            <w:bottom w:w="57" w:type="dxa"/>
            <w:right w:w="57" w:type="dxa"/>
          </w:tblCellMar>
        </w:tblPrEx>
        <w:trPr>
          <w:trHeight w:val="2211" w:hRule="atLeast"/>
        </w:trPr>
        <w:tc>
          <w:tcPr>
            <w:tcW w:w="6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49</w:t>
            </w:r>
          </w:p>
        </w:tc>
        <w:tc>
          <w:tcPr>
            <w:tcW w:w="39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《公安机关人民警察纪律条令》 </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（2009年监察部 人力资源社会保障部 公安部</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第20号令）</w:t>
            </w:r>
          </w:p>
        </w:tc>
        <w:tc>
          <w:tcPr>
            <w:tcW w:w="9498" w:type="dxa"/>
            <w:tcBorders>
              <w:top w:val="nil"/>
              <w:left w:val="nil"/>
              <w:bottom w:val="single" w:color="auto" w:sz="4" w:space="0"/>
              <w:right w:val="single" w:color="auto" w:sz="4" w:space="0"/>
            </w:tcBorders>
            <w:shd w:val="clear" w:color="auto" w:fill="auto"/>
            <w:vAlign w:val="center"/>
          </w:tcPr>
          <w:p>
            <w:pPr>
              <w:pStyle w:val="12"/>
              <w:ind w:firstLine="360" w:firstLineChars="200"/>
              <w:jc w:val="left"/>
              <w:rPr>
                <w:color w:val="auto"/>
              </w:rPr>
            </w:pPr>
            <w:r>
              <w:rPr>
                <w:rFonts w:hint="eastAsia"/>
                <w:bCs/>
                <w:color w:val="auto"/>
              </w:rPr>
              <w:t>第七条</w:t>
            </w:r>
            <w:r>
              <w:rPr>
                <w:rFonts w:hint="eastAsia"/>
                <w:color w:val="auto"/>
              </w:rPr>
              <w:t>　有下列行为之一的，给予开除处分：</w:t>
            </w:r>
            <w:r>
              <w:rPr>
                <w:rFonts w:hint="eastAsia"/>
                <w:color w:val="auto"/>
              </w:rPr>
              <w:br w:type="textWrapping"/>
            </w:r>
            <w:r>
              <w:rPr>
                <w:rFonts w:hint="eastAsia"/>
                <w:color w:val="auto"/>
              </w:rPr>
              <w:t>　　（一）逃往境外或者非法出境、违反规定滞留境外不归的；</w:t>
            </w:r>
            <w:r>
              <w:rPr>
                <w:rFonts w:hint="eastAsia"/>
                <w:color w:val="auto"/>
              </w:rPr>
              <w:br w:type="textWrapping"/>
            </w:r>
            <w:r>
              <w:rPr>
                <w:rFonts w:hint="eastAsia"/>
                <w:color w:val="auto"/>
              </w:rPr>
              <w:t>　　（二）参与、包庇或者纵容危害国家安全违法犯罪活动的；</w:t>
            </w:r>
            <w:r>
              <w:rPr>
                <w:rFonts w:hint="eastAsia"/>
                <w:color w:val="auto"/>
              </w:rPr>
              <w:br w:type="textWrapping"/>
            </w:r>
            <w:r>
              <w:rPr>
                <w:rFonts w:hint="eastAsia"/>
                <w:color w:val="auto"/>
              </w:rPr>
              <w:t>　　（三）参与、包庇或者纵容黑社会性质组织犯罪活动的；</w:t>
            </w:r>
            <w:r>
              <w:rPr>
                <w:rFonts w:hint="eastAsia"/>
                <w:color w:val="auto"/>
              </w:rPr>
              <w:br w:type="textWrapping"/>
            </w:r>
            <w:r>
              <w:rPr>
                <w:rFonts w:hint="eastAsia"/>
                <w:color w:val="auto"/>
              </w:rPr>
              <w:t>　　（四）向犯罪嫌疑人通风报信的；</w:t>
            </w:r>
            <w:r>
              <w:rPr>
                <w:rFonts w:hint="eastAsia"/>
                <w:color w:val="auto"/>
              </w:rPr>
              <w:br w:type="textWrapping"/>
            </w:r>
            <w:r>
              <w:rPr>
                <w:rFonts w:hint="eastAsia"/>
                <w:color w:val="auto"/>
              </w:rPr>
              <w:t>　　（五）私放他人出入境的。</w:t>
            </w:r>
          </w:p>
        </w:tc>
      </w:tr>
      <w:tr>
        <w:tblPrEx>
          <w:tblLayout w:type="fixed"/>
          <w:tblCellMar>
            <w:top w:w="57" w:type="dxa"/>
            <w:left w:w="57" w:type="dxa"/>
            <w:bottom w:w="57" w:type="dxa"/>
            <w:right w:w="57" w:type="dxa"/>
          </w:tblCellMar>
        </w:tblPrEx>
        <w:trPr>
          <w:trHeight w:val="2721" w:hRule="atLeast"/>
        </w:trPr>
        <w:tc>
          <w:tcPr>
            <w:tcW w:w="6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50</w:t>
            </w:r>
          </w:p>
        </w:tc>
        <w:tc>
          <w:tcPr>
            <w:tcW w:w="39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《公安机关人民警察纪律条令》</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（2009年监察部 人力资源社会保障部 公安部</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第21号令）</w:t>
            </w:r>
          </w:p>
        </w:tc>
        <w:tc>
          <w:tcPr>
            <w:tcW w:w="9498" w:type="dxa"/>
            <w:tcBorders>
              <w:top w:val="nil"/>
              <w:left w:val="nil"/>
              <w:bottom w:val="single" w:color="auto" w:sz="4" w:space="0"/>
              <w:right w:val="single" w:color="auto" w:sz="4" w:space="0"/>
            </w:tcBorders>
            <w:shd w:val="clear" w:color="auto" w:fill="auto"/>
            <w:vAlign w:val="center"/>
          </w:tcPr>
          <w:p>
            <w:pPr>
              <w:pStyle w:val="12"/>
              <w:ind w:firstLine="360" w:firstLineChars="200"/>
              <w:jc w:val="left"/>
              <w:rPr>
                <w:color w:val="auto"/>
              </w:rPr>
            </w:pPr>
            <w:r>
              <w:rPr>
                <w:rFonts w:hint="eastAsia"/>
                <w:bCs/>
                <w:color w:val="auto"/>
              </w:rPr>
              <w:t>第九条</w:t>
            </w:r>
            <w:r>
              <w:rPr>
                <w:rFonts w:hint="eastAsia"/>
                <w:color w:val="auto"/>
              </w:rPr>
              <w:t>　有下列行为之一的，给予记过或者记大过处分；情节较重的，给予降级或者撤职处分；情节严重的，给予开除处分：</w:t>
            </w:r>
            <w:r>
              <w:rPr>
                <w:rFonts w:hint="eastAsia"/>
                <w:color w:val="auto"/>
              </w:rPr>
              <w:br w:type="textWrapping"/>
            </w:r>
            <w:r>
              <w:rPr>
                <w:rFonts w:hint="eastAsia"/>
                <w:color w:val="auto"/>
              </w:rPr>
              <w:t>　　（一）故意违反规定立案、撤销案件、提请逮捕、移送起诉的；</w:t>
            </w:r>
            <w:r>
              <w:rPr>
                <w:rFonts w:hint="eastAsia"/>
                <w:color w:val="auto"/>
              </w:rPr>
              <w:br w:type="textWrapping"/>
            </w:r>
            <w:r>
              <w:rPr>
                <w:rFonts w:hint="eastAsia"/>
                <w:color w:val="auto"/>
              </w:rPr>
              <w:t>　　（二）违反规定采取、变更、撤销刑事拘留、取保候审、监视居住等刑事强制措施或者行政拘留的；</w:t>
            </w:r>
            <w:r>
              <w:rPr>
                <w:rFonts w:hint="eastAsia"/>
                <w:color w:val="auto"/>
              </w:rPr>
              <w:br w:type="textWrapping"/>
            </w:r>
            <w:r>
              <w:rPr>
                <w:rFonts w:hint="eastAsia"/>
                <w:color w:val="auto"/>
              </w:rPr>
              <w:t>　　（三）非法剥夺、限制他人人身自由的；</w:t>
            </w:r>
            <w:r>
              <w:rPr>
                <w:rFonts w:hint="eastAsia"/>
                <w:color w:val="auto"/>
              </w:rPr>
              <w:br w:type="textWrapping"/>
            </w:r>
            <w:r>
              <w:rPr>
                <w:rFonts w:hint="eastAsia"/>
                <w:color w:val="auto"/>
              </w:rPr>
              <w:t>　　（四）非法搜查他人身体、物品、住所或者场所的；</w:t>
            </w:r>
            <w:r>
              <w:rPr>
                <w:rFonts w:hint="eastAsia"/>
                <w:color w:val="auto"/>
              </w:rPr>
              <w:br w:type="textWrapping"/>
            </w:r>
            <w:r>
              <w:rPr>
                <w:rFonts w:hint="eastAsia"/>
                <w:color w:val="auto"/>
              </w:rPr>
              <w:t>　　（五）违反规定延长羁押期限或者变相拘禁他人的；</w:t>
            </w:r>
            <w:r>
              <w:rPr>
                <w:rFonts w:hint="eastAsia"/>
                <w:color w:val="auto"/>
              </w:rPr>
              <w:br w:type="textWrapping"/>
            </w:r>
            <w:r>
              <w:rPr>
                <w:rFonts w:hint="eastAsia"/>
                <w:color w:val="auto"/>
              </w:rPr>
              <w:t>　　（六）违反规定采取通缉等措施或者擅自使用侦察手段侵犯公民合法权益的。</w:t>
            </w:r>
          </w:p>
        </w:tc>
      </w:tr>
      <w:tr>
        <w:tblPrEx>
          <w:tblLayout w:type="fixed"/>
          <w:tblCellMar>
            <w:top w:w="57" w:type="dxa"/>
            <w:left w:w="57" w:type="dxa"/>
            <w:bottom w:w="57" w:type="dxa"/>
            <w:right w:w="57" w:type="dxa"/>
          </w:tblCellMar>
        </w:tblPrEx>
        <w:trPr>
          <w:trHeight w:val="3345" w:hRule="atLeast"/>
        </w:trPr>
        <w:tc>
          <w:tcPr>
            <w:tcW w:w="6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51</w:t>
            </w:r>
          </w:p>
        </w:tc>
        <w:tc>
          <w:tcPr>
            <w:tcW w:w="39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《公安机关人民警察纪律条令》 </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（2009年监察部 人力资源社会保障部 公安部</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第22号令）</w:t>
            </w:r>
          </w:p>
        </w:tc>
        <w:tc>
          <w:tcPr>
            <w:tcW w:w="9498" w:type="dxa"/>
            <w:tcBorders>
              <w:top w:val="nil"/>
              <w:left w:val="nil"/>
              <w:bottom w:val="single" w:color="auto" w:sz="4" w:space="0"/>
              <w:right w:val="single" w:color="auto" w:sz="4" w:space="0"/>
            </w:tcBorders>
            <w:shd w:val="clear" w:color="auto" w:fill="auto"/>
            <w:vAlign w:val="center"/>
          </w:tcPr>
          <w:p>
            <w:pPr>
              <w:pStyle w:val="12"/>
              <w:ind w:firstLine="360" w:firstLineChars="200"/>
              <w:jc w:val="left"/>
              <w:rPr>
                <w:color w:val="auto"/>
              </w:rPr>
            </w:pPr>
            <w:r>
              <w:rPr>
                <w:rFonts w:hint="eastAsia"/>
                <w:bCs/>
                <w:color w:val="auto"/>
              </w:rPr>
              <w:t>第十二条</w:t>
            </w:r>
            <w:r>
              <w:rPr>
                <w:rFonts w:hint="eastAsia"/>
                <w:color w:val="auto"/>
              </w:rPr>
              <w:t>　有下列行为之一的，给予记过或者记大过处分；情节较重的，给予降级或者撤职处分；情节严重的，给予开除处分：</w:t>
            </w:r>
            <w:r>
              <w:rPr>
                <w:rFonts w:hint="eastAsia"/>
                <w:color w:val="auto"/>
              </w:rPr>
              <w:br w:type="textWrapping"/>
            </w:r>
            <w:r>
              <w:rPr>
                <w:rFonts w:hint="eastAsia"/>
                <w:color w:val="auto"/>
              </w:rPr>
              <w:t>　　（一）对依法应当办理的受理案件、立案、撤销案件、提请逮捕、移送起诉等事项，无正当理由不予办理的；</w:t>
            </w:r>
            <w:r>
              <w:rPr>
                <w:rFonts w:hint="eastAsia"/>
                <w:color w:val="auto"/>
              </w:rPr>
              <w:br w:type="textWrapping"/>
            </w:r>
            <w:r>
              <w:rPr>
                <w:rFonts w:hint="eastAsia"/>
                <w:color w:val="auto"/>
              </w:rPr>
              <w:t>　　（二）对管辖范围内发生的应当上报的重大治安案件、刑事案件、特大道路交通事故和群体性或者突发性事件等隐瞒不报或者谎报的；</w:t>
            </w:r>
            <w:r>
              <w:rPr>
                <w:rFonts w:hint="eastAsia"/>
                <w:color w:val="auto"/>
              </w:rPr>
              <w:br w:type="textWrapping"/>
            </w:r>
            <w:r>
              <w:rPr>
                <w:rFonts w:hint="eastAsia"/>
                <w:color w:val="auto"/>
              </w:rPr>
              <w:t>　　（三）在勘验、检查、鉴定等取证工作中严重失职，造成无辜人员被处理或者违法犯罪人员逃避法律追究的；</w:t>
            </w:r>
            <w:r>
              <w:rPr>
                <w:rFonts w:hint="eastAsia"/>
                <w:color w:val="auto"/>
              </w:rPr>
              <w:br w:type="textWrapping"/>
            </w:r>
            <w:r>
              <w:rPr>
                <w:rFonts w:hint="eastAsia"/>
                <w:color w:val="auto"/>
              </w:rPr>
              <w:t>　　（四）因工作失职造成被羁押、监管等人员脱逃、致残、致死或者其他不良后果的；</w:t>
            </w:r>
            <w:r>
              <w:rPr>
                <w:rFonts w:hint="eastAsia"/>
                <w:color w:val="auto"/>
              </w:rPr>
              <w:br w:type="textWrapping"/>
            </w:r>
            <w:r>
              <w:rPr>
                <w:rFonts w:hint="eastAsia"/>
                <w:color w:val="auto"/>
              </w:rPr>
              <w:t>　　（五）在值班、备勤、执勤时擅离岗位，造成不良后果的；</w:t>
            </w:r>
            <w:r>
              <w:rPr>
                <w:rFonts w:hint="eastAsia"/>
                <w:color w:val="auto"/>
              </w:rPr>
              <w:br w:type="textWrapping"/>
            </w:r>
            <w:r>
              <w:rPr>
                <w:rFonts w:hint="eastAsia"/>
                <w:color w:val="auto"/>
              </w:rPr>
              <w:t>　　（六）不履行办案协作职责造成不良后果的；</w:t>
            </w:r>
            <w:r>
              <w:rPr>
                <w:rFonts w:hint="eastAsia"/>
                <w:color w:val="auto"/>
              </w:rPr>
              <w:br w:type="textWrapping"/>
            </w:r>
            <w:r>
              <w:rPr>
                <w:rFonts w:hint="eastAsia"/>
                <w:color w:val="auto"/>
              </w:rPr>
              <w:t>　　（七）在执行任务时临危退缩、临阵脱逃的。</w:t>
            </w:r>
          </w:p>
        </w:tc>
      </w:tr>
      <w:tr>
        <w:tblPrEx>
          <w:tblLayout w:type="fixed"/>
          <w:tblCellMar>
            <w:top w:w="57" w:type="dxa"/>
            <w:left w:w="57" w:type="dxa"/>
            <w:bottom w:w="57" w:type="dxa"/>
            <w:right w:w="57" w:type="dxa"/>
          </w:tblCellMar>
        </w:tblPrEx>
        <w:trPr>
          <w:trHeight w:val="1531" w:hRule="atLeast"/>
        </w:trPr>
        <w:tc>
          <w:tcPr>
            <w:tcW w:w="6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52</w:t>
            </w:r>
          </w:p>
        </w:tc>
        <w:tc>
          <w:tcPr>
            <w:tcW w:w="39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《公安机关人民警察纪律条令》 </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（2009年监察部 人力资源社会保障部 公安部</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第23号令）</w:t>
            </w:r>
          </w:p>
        </w:tc>
        <w:tc>
          <w:tcPr>
            <w:tcW w:w="9498" w:type="dxa"/>
            <w:tcBorders>
              <w:top w:val="nil"/>
              <w:left w:val="nil"/>
              <w:bottom w:val="single" w:color="auto" w:sz="4" w:space="0"/>
              <w:right w:val="single" w:color="auto" w:sz="4" w:space="0"/>
            </w:tcBorders>
            <w:shd w:val="clear" w:color="auto" w:fill="auto"/>
            <w:vAlign w:val="center"/>
          </w:tcPr>
          <w:p>
            <w:pPr>
              <w:pStyle w:val="12"/>
              <w:ind w:firstLine="360" w:firstLineChars="200"/>
              <w:jc w:val="left"/>
              <w:rPr>
                <w:color w:val="auto"/>
              </w:rPr>
            </w:pPr>
            <w:r>
              <w:rPr>
                <w:rFonts w:hint="eastAsia"/>
                <w:bCs/>
                <w:color w:val="auto"/>
              </w:rPr>
              <w:t>第十三条</w:t>
            </w:r>
            <w:r>
              <w:rPr>
                <w:rFonts w:hint="eastAsia"/>
                <w:color w:val="auto"/>
              </w:rPr>
              <w:t>　有下列行为之一的，给予记过或者记大过处分；情节较重的，给予降级或者撤职处分；情节严重的，给予开除处分：</w:t>
            </w:r>
            <w:r>
              <w:rPr>
                <w:rFonts w:hint="eastAsia"/>
                <w:color w:val="auto"/>
              </w:rPr>
              <w:br w:type="textWrapping"/>
            </w:r>
            <w:r>
              <w:rPr>
                <w:rFonts w:hint="eastAsia"/>
                <w:color w:val="auto"/>
              </w:rPr>
              <w:t>　　（一）利用职权干扰执法办案或者强令违法办案的；</w:t>
            </w:r>
            <w:r>
              <w:rPr>
                <w:rFonts w:hint="eastAsia"/>
                <w:color w:val="auto"/>
              </w:rPr>
              <w:br w:type="textWrapping"/>
            </w:r>
            <w:r>
              <w:rPr>
                <w:rFonts w:hint="eastAsia"/>
                <w:color w:val="auto"/>
              </w:rPr>
              <w:t>　　（二）利用职权干预经济纠纷或者为他人追债讨债的。</w:t>
            </w:r>
          </w:p>
        </w:tc>
      </w:tr>
      <w:tr>
        <w:tblPrEx>
          <w:tblLayout w:type="fixed"/>
          <w:tblCellMar>
            <w:top w:w="57" w:type="dxa"/>
            <w:left w:w="57" w:type="dxa"/>
            <w:bottom w:w="57" w:type="dxa"/>
            <w:right w:w="57" w:type="dxa"/>
          </w:tblCellMar>
        </w:tblPrEx>
        <w:trPr>
          <w:trHeight w:val="1701" w:hRule="atLeast"/>
        </w:trPr>
        <w:tc>
          <w:tcPr>
            <w:tcW w:w="6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53</w:t>
            </w:r>
          </w:p>
        </w:tc>
        <w:tc>
          <w:tcPr>
            <w:tcW w:w="39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《公安机关人民警察纪律条令》 </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（2009年监察部 人力资源社会保障部 公安部</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第24号令）</w:t>
            </w:r>
          </w:p>
        </w:tc>
        <w:tc>
          <w:tcPr>
            <w:tcW w:w="9498" w:type="dxa"/>
            <w:tcBorders>
              <w:top w:val="nil"/>
              <w:left w:val="nil"/>
              <w:bottom w:val="single" w:color="auto" w:sz="4" w:space="0"/>
              <w:right w:val="single" w:color="auto" w:sz="4" w:space="0"/>
            </w:tcBorders>
            <w:shd w:val="clear" w:color="auto" w:fill="auto"/>
            <w:vAlign w:val="center"/>
          </w:tcPr>
          <w:p>
            <w:pPr>
              <w:pStyle w:val="12"/>
              <w:jc w:val="left"/>
              <w:rPr>
                <w:bCs/>
                <w:color w:val="auto"/>
              </w:rPr>
            </w:pPr>
            <w:r>
              <w:rPr>
                <w:rFonts w:hint="eastAsia"/>
                <w:bCs/>
                <w:color w:val="auto"/>
              </w:rPr>
              <w:t xml:space="preserve">    第十四条</w:t>
            </w:r>
            <w:r>
              <w:rPr>
                <w:rFonts w:hint="eastAsia"/>
                <w:color w:val="auto"/>
              </w:rPr>
              <w:t>　有下列行为之一的，给予记过或者记大过处分；情节较重的，给予降级或者撤职处分；情节严重的，给予开除处分：</w:t>
            </w:r>
            <w:r>
              <w:rPr>
                <w:rFonts w:hint="eastAsia"/>
                <w:color w:val="auto"/>
              </w:rPr>
              <w:br w:type="textWrapping"/>
            </w:r>
            <w:r>
              <w:rPr>
                <w:rFonts w:hint="eastAsia"/>
                <w:color w:val="auto"/>
              </w:rPr>
              <w:t>　　（一）隐瞒或者伪造案情的；</w:t>
            </w:r>
            <w:r>
              <w:rPr>
                <w:rFonts w:hint="eastAsia"/>
                <w:color w:val="auto"/>
              </w:rPr>
              <w:br w:type="textWrapping"/>
            </w:r>
            <w:r>
              <w:rPr>
                <w:rFonts w:hint="eastAsia"/>
                <w:color w:val="auto"/>
              </w:rPr>
              <w:t>　　（二）伪造、变造、隐匿、销毁检举控告材料或者证据材料的；</w:t>
            </w:r>
            <w:r>
              <w:rPr>
                <w:rFonts w:hint="eastAsia"/>
                <w:color w:val="auto"/>
              </w:rPr>
              <w:br w:type="textWrapping"/>
            </w:r>
            <w:r>
              <w:rPr>
                <w:rFonts w:hint="eastAsia"/>
                <w:color w:val="auto"/>
              </w:rPr>
              <w:t>　　（三）出具虚假审查或者证明材料、结论的。</w:t>
            </w:r>
          </w:p>
        </w:tc>
      </w:tr>
      <w:tr>
        <w:tblPrEx>
          <w:tblLayout w:type="fixed"/>
          <w:tblCellMar>
            <w:top w:w="57" w:type="dxa"/>
            <w:left w:w="57" w:type="dxa"/>
            <w:bottom w:w="57" w:type="dxa"/>
            <w:right w:w="57" w:type="dxa"/>
          </w:tblCellMar>
        </w:tblPrEx>
        <w:trPr>
          <w:trHeight w:val="1474" w:hRule="atLeast"/>
        </w:trPr>
        <w:tc>
          <w:tcPr>
            <w:tcW w:w="6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54</w:t>
            </w:r>
          </w:p>
        </w:tc>
        <w:tc>
          <w:tcPr>
            <w:tcW w:w="39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《公安机关人民警察纪律条令》</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（2009年监察部 人力资源社会保障部 公安部</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第25号令）</w:t>
            </w:r>
          </w:p>
        </w:tc>
        <w:tc>
          <w:tcPr>
            <w:tcW w:w="9498" w:type="dxa"/>
            <w:tcBorders>
              <w:top w:val="nil"/>
              <w:left w:val="nil"/>
              <w:bottom w:val="single" w:color="auto" w:sz="4" w:space="0"/>
              <w:right w:val="single" w:color="auto" w:sz="4" w:space="0"/>
            </w:tcBorders>
            <w:shd w:val="clear" w:color="auto" w:fill="auto"/>
            <w:vAlign w:val="center"/>
          </w:tcPr>
          <w:p>
            <w:pPr>
              <w:pStyle w:val="12"/>
              <w:jc w:val="left"/>
              <w:rPr>
                <w:bCs/>
                <w:color w:val="auto"/>
              </w:rPr>
            </w:pPr>
            <w:r>
              <w:rPr>
                <w:rFonts w:hint="eastAsia"/>
                <w:bCs/>
                <w:color w:val="auto"/>
              </w:rPr>
              <w:t xml:space="preserve">    第十五条</w:t>
            </w:r>
            <w:r>
              <w:rPr>
                <w:rFonts w:hint="eastAsia"/>
                <w:color w:val="auto"/>
              </w:rPr>
              <w:t>　有下列行为之一的，给予警告或者记过处分；情节较重的，给予记大过或者降级处分；情节严重的，给予撤职处分：</w:t>
            </w:r>
            <w:r>
              <w:rPr>
                <w:rFonts w:hint="eastAsia"/>
                <w:color w:val="auto"/>
              </w:rPr>
              <w:br w:type="textWrapping"/>
            </w:r>
            <w:r>
              <w:rPr>
                <w:rFonts w:hint="eastAsia"/>
                <w:color w:val="auto"/>
              </w:rPr>
              <w:t>　　（一）违反规定吊销、暂扣证照或者责令停业整顿的；</w:t>
            </w:r>
            <w:r>
              <w:rPr>
                <w:rFonts w:hint="eastAsia"/>
                <w:color w:val="auto"/>
              </w:rPr>
              <w:br w:type="textWrapping"/>
            </w:r>
            <w:r>
              <w:rPr>
                <w:rFonts w:hint="eastAsia"/>
                <w:color w:val="auto"/>
              </w:rPr>
              <w:t>　　（二）违反规定查封、扣押、冻结、没收财物的。　</w:t>
            </w:r>
          </w:p>
        </w:tc>
      </w:tr>
      <w:tr>
        <w:tblPrEx>
          <w:tblLayout w:type="fixed"/>
          <w:tblCellMar>
            <w:top w:w="57" w:type="dxa"/>
            <w:left w:w="57" w:type="dxa"/>
            <w:bottom w:w="57" w:type="dxa"/>
            <w:right w:w="57" w:type="dxa"/>
          </w:tblCellMar>
        </w:tblPrEx>
        <w:trPr>
          <w:trHeight w:val="2381" w:hRule="atLeast"/>
        </w:trPr>
        <w:tc>
          <w:tcPr>
            <w:tcW w:w="6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55</w:t>
            </w:r>
          </w:p>
        </w:tc>
        <w:tc>
          <w:tcPr>
            <w:tcW w:w="39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《公安机关人民警察纪律条令》</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（2009年监察部 人力资源社会保障部 公安部</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第26号令）</w:t>
            </w:r>
          </w:p>
        </w:tc>
        <w:tc>
          <w:tcPr>
            <w:tcW w:w="9498" w:type="dxa"/>
            <w:tcBorders>
              <w:top w:val="nil"/>
              <w:left w:val="nil"/>
              <w:bottom w:val="single" w:color="auto" w:sz="4" w:space="0"/>
              <w:right w:val="single" w:color="auto" w:sz="4" w:space="0"/>
            </w:tcBorders>
            <w:shd w:val="clear" w:color="auto" w:fill="auto"/>
            <w:vAlign w:val="center"/>
          </w:tcPr>
          <w:p>
            <w:pPr>
              <w:pStyle w:val="12"/>
              <w:jc w:val="left"/>
              <w:rPr>
                <w:color w:val="auto"/>
              </w:rPr>
            </w:pPr>
            <w:r>
              <w:rPr>
                <w:rFonts w:hint="eastAsia"/>
                <w:color w:val="auto"/>
              </w:rPr>
              <w:t xml:space="preserve">　  </w:t>
            </w:r>
            <w:r>
              <w:rPr>
                <w:rFonts w:hint="eastAsia"/>
                <w:bCs/>
                <w:color w:val="auto"/>
              </w:rPr>
              <w:t>第十六条</w:t>
            </w:r>
            <w:r>
              <w:rPr>
                <w:rFonts w:hint="eastAsia"/>
                <w:color w:val="auto"/>
              </w:rPr>
              <w:t>　有下列行为之一的，给予警告或者记过处分；情节较重的，给予记大过或者降级处分；情节严重的，给予撤职处分：</w:t>
            </w:r>
            <w:r>
              <w:rPr>
                <w:rFonts w:hint="eastAsia"/>
                <w:color w:val="auto"/>
              </w:rPr>
              <w:br w:type="textWrapping"/>
            </w:r>
            <w:r>
              <w:rPr>
                <w:rFonts w:hint="eastAsia"/>
                <w:color w:val="auto"/>
              </w:rPr>
              <w:t>　　（一）擅自设定收费项目、提高收费标准的；</w:t>
            </w:r>
            <w:r>
              <w:rPr>
                <w:rFonts w:hint="eastAsia"/>
                <w:color w:val="auto"/>
              </w:rPr>
              <w:br w:type="textWrapping"/>
            </w:r>
            <w:r>
              <w:rPr>
                <w:rFonts w:hint="eastAsia"/>
                <w:color w:val="auto"/>
              </w:rPr>
              <w:t>　　（二）违反规定设定罚款项目或者实施罚款的；</w:t>
            </w:r>
            <w:r>
              <w:rPr>
                <w:rFonts w:hint="eastAsia"/>
                <w:color w:val="auto"/>
              </w:rPr>
              <w:br w:type="textWrapping"/>
            </w:r>
            <w:r>
              <w:rPr>
                <w:rFonts w:hint="eastAsia"/>
                <w:color w:val="auto"/>
              </w:rPr>
              <w:t>　　（三）违反规定办理户口、身份证、驾驶证、特种行业许可证、护照、机动车行驶证和号牌等证件、牌照以及其他行政许可事项的。</w:t>
            </w:r>
            <w:r>
              <w:rPr>
                <w:rFonts w:hint="eastAsia"/>
                <w:color w:val="auto"/>
              </w:rPr>
              <w:br w:type="textWrapping"/>
            </w:r>
            <w:r>
              <w:rPr>
                <w:rFonts w:hint="eastAsia"/>
                <w:color w:val="auto"/>
              </w:rPr>
              <w:t>　　以实施行政事业性收费、罚没的名义收取钱物，不出具任何票据的，给予开除处分。</w:t>
            </w:r>
          </w:p>
        </w:tc>
      </w:tr>
      <w:tr>
        <w:tblPrEx>
          <w:tblLayout w:type="fixed"/>
          <w:tblCellMar>
            <w:top w:w="57" w:type="dxa"/>
            <w:left w:w="57" w:type="dxa"/>
            <w:bottom w:w="57" w:type="dxa"/>
            <w:right w:w="57" w:type="dxa"/>
          </w:tblCellMar>
        </w:tblPrEx>
        <w:trPr>
          <w:trHeight w:val="939" w:hRule="atLeast"/>
        </w:trPr>
        <w:tc>
          <w:tcPr>
            <w:tcW w:w="6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56</w:t>
            </w:r>
          </w:p>
        </w:tc>
        <w:tc>
          <w:tcPr>
            <w:tcW w:w="39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《公安机关人民警察纪律条令》</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（2009年监察部 人力资源社会保障部 公安部</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第27号令）</w:t>
            </w:r>
          </w:p>
        </w:tc>
        <w:tc>
          <w:tcPr>
            <w:tcW w:w="9498" w:type="dxa"/>
            <w:tcBorders>
              <w:top w:val="nil"/>
              <w:left w:val="nil"/>
              <w:bottom w:val="single" w:color="auto" w:sz="4" w:space="0"/>
              <w:right w:val="single" w:color="auto" w:sz="4" w:space="0"/>
            </w:tcBorders>
            <w:shd w:val="clear" w:color="auto" w:fill="auto"/>
            <w:vAlign w:val="center"/>
          </w:tcPr>
          <w:p>
            <w:pPr>
              <w:pStyle w:val="12"/>
              <w:jc w:val="left"/>
              <w:rPr>
                <w:bCs/>
                <w:color w:val="auto"/>
              </w:rPr>
            </w:pPr>
            <w:r>
              <w:rPr>
                <w:rFonts w:hint="eastAsia"/>
                <w:bCs/>
                <w:color w:val="auto"/>
              </w:rPr>
              <w:t xml:space="preserve">    第十八条</w:t>
            </w:r>
            <w:r>
              <w:rPr>
                <w:rFonts w:hint="eastAsia"/>
                <w:color w:val="auto"/>
              </w:rPr>
              <w:t>　私分、挪用、非法占有赃款赃物、扣押财物、保证金、无主财物、罚没款物的，给予记过或者记大过处分；情节较重的，给予降级或者撤职处分；情节严重的，给予开除处分。</w:t>
            </w:r>
          </w:p>
        </w:tc>
      </w:tr>
      <w:tr>
        <w:tblPrEx>
          <w:tblLayout w:type="fixed"/>
          <w:tblCellMar>
            <w:top w:w="57" w:type="dxa"/>
            <w:left w:w="57" w:type="dxa"/>
            <w:bottom w:w="57" w:type="dxa"/>
            <w:right w:w="57" w:type="dxa"/>
          </w:tblCellMar>
        </w:tblPrEx>
        <w:trPr>
          <w:trHeight w:val="939" w:hRule="atLeast"/>
        </w:trPr>
        <w:tc>
          <w:tcPr>
            <w:tcW w:w="6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57</w:t>
            </w:r>
          </w:p>
        </w:tc>
        <w:tc>
          <w:tcPr>
            <w:tcW w:w="39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《公安机关奖励考核工作暂行办法》</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（公政治【2006】515号）</w:t>
            </w:r>
          </w:p>
        </w:tc>
        <w:tc>
          <w:tcPr>
            <w:tcW w:w="9498" w:type="dxa"/>
            <w:tcBorders>
              <w:top w:val="nil"/>
              <w:left w:val="nil"/>
              <w:bottom w:val="single" w:color="auto" w:sz="4" w:space="0"/>
              <w:right w:val="single" w:color="auto" w:sz="4" w:space="0"/>
            </w:tcBorders>
            <w:shd w:val="clear" w:color="auto" w:fill="auto"/>
            <w:vAlign w:val="center"/>
          </w:tcPr>
          <w:p>
            <w:pPr>
              <w:pStyle w:val="12"/>
              <w:jc w:val="left"/>
              <w:rPr>
                <w:bCs/>
                <w:color w:val="auto"/>
              </w:rPr>
            </w:pPr>
            <w:r>
              <w:rPr>
                <w:rFonts w:hint="eastAsia"/>
                <w:bCs/>
                <w:color w:val="auto"/>
              </w:rPr>
              <w:t xml:space="preserve">    第十四条</w:t>
            </w:r>
            <w:r>
              <w:rPr>
                <w:rFonts w:hint="eastAsia"/>
                <w:color w:val="auto"/>
              </w:rPr>
              <w:t xml:space="preserve"> 公安机关奖励考核实行工作责任制。参加考核人员必须坚持原则，公道正派，如实反映考核情况和意见，并对考核材料负责。对未按本办法规定进行考核的奖励申报事项，奖励批准机关不予受理。对未按本办法规定进行考核或者在考核时不认真履行职责，造成工作失误，产生严重后果的，应对主要责任人和其他直接责任人作出处理或者纪律处分。</w:t>
            </w:r>
          </w:p>
        </w:tc>
      </w:tr>
      <w:tr>
        <w:tblPrEx>
          <w:tblLayout w:type="fixed"/>
          <w:tblCellMar>
            <w:top w:w="57" w:type="dxa"/>
            <w:left w:w="57" w:type="dxa"/>
            <w:bottom w:w="57" w:type="dxa"/>
            <w:right w:w="57" w:type="dxa"/>
          </w:tblCellMar>
        </w:tblPrEx>
        <w:trPr>
          <w:trHeight w:val="939" w:hRule="atLeast"/>
        </w:trPr>
        <w:tc>
          <w:tcPr>
            <w:tcW w:w="6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58</w:t>
            </w:r>
          </w:p>
        </w:tc>
        <w:tc>
          <w:tcPr>
            <w:tcW w:w="39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《互联网上网服务营业场所管理条例》</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（国务院令第363号）</w:t>
            </w:r>
          </w:p>
        </w:tc>
        <w:tc>
          <w:tcPr>
            <w:tcW w:w="9498" w:type="dxa"/>
            <w:tcBorders>
              <w:top w:val="nil"/>
              <w:left w:val="nil"/>
              <w:bottom w:val="single" w:color="auto" w:sz="4" w:space="0"/>
              <w:right w:val="single" w:color="auto" w:sz="4" w:space="0"/>
            </w:tcBorders>
            <w:shd w:val="clear" w:color="auto" w:fill="auto"/>
            <w:vAlign w:val="center"/>
          </w:tcPr>
          <w:p>
            <w:pPr>
              <w:pStyle w:val="12"/>
              <w:jc w:val="left"/>
              <w:rPr>
                <w:bCs/>
                <w:color w:val="auto"/>
              </w:rPr>
            </w:pPr>
            <w:r>
              <w:rPr>
                <w:rFonts w:hint="eastAsia"/>
                <w:bCs/>
                <w:color w:val="auto"/>
              </w:rPr>
              <w:t xml:space="preserve">    第二十五条</w:t>
            </w:r>
            <w:r>
              <w:rPr>
                <w:rFonts w:hint="eastAsia"/>
                <w:color w:val="auto"/>
              </w:rPr>
              <w:t>　文化行政部门、公安机关、工商行政管理部门或者其他有关部门及其工作人员，利用职务上的便利收受他人财物或者其他好处，违法批准不符合法定设立条件的互联网上网服务营业场所经营单位，或者不依法履行监督职责，或者发现违法行为不予依法查处，触犯刑律的，对直接负责的主管人员和其他直接责任人员依照刑法关于受贿罪、滥用职权罪、玩忽职守罪或者其他罪的规定，依法追究刑事责任；尚不够刑事处罚的，依法给予降级、撤职或者开除的行政处分。</w:t>
            </w:r>
          </w:p>
        </w:tc>
      </w:tr>
      <w:tr>
        <w:tblPrEx>
          <w:tblLayout w:type="fixed"/>
          <w:tblCellMar>
            <w:top w:w="57" w:type="dxa"/>
            <w:left w:w="57" w:type="dxa"/>
            <w:bottom w:w="57" w:type="dxa"/>
            <w:right w:w="57" w:type="dxa"/>
          </w:tblCellMar>
        </w:tblPrEx>
        <w:trPr>
          <w:trHeight w:val="939" w:hRule="atLeast"/>
        </w:trPr>
        <w:tc>
          <w:tcPr>
            <w:tcW w:w="6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59</w:t>
            </w:r>
          </w:p>
        </w:tc>
        <w:tc>
          <w:tcPr>
            <w:tcW w:w="39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《民用爆炸物品安全管理条例》 </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（国务院令第466号）</w:t>
            </w:r>
          </w:p>
        </w:tc>
        <w:tc>
          <w:tcPr>
            <w:tcW w:w="9498" w:type="dxa"/>
            <w:tcBorders>
              <w:top w:val="nil"/>
              <w:left w:val="nil"/>
              <w:bottom w:val="single" w:color="auto" w:sz="4" w:space="0"/>
              <w:right w:val="single" w:color="auto" w:sz="4" w:space="0"/>
            </w:tcBorders>
            <w:shd w:val="clear" w:color="auto" w:fill="auto"/>
            <w:vAlign w:val="center"/>
          </w:tcPr>
          <w:p>
            <w:pPr>
              <w:pStyle w:val="12"/>
              <w:jc w:val="left"/>
              <w:rPr>
                <w:bCs/>
                <w:color w:val="auto"/>
              </w:rPr>
            </w:pPr>
            <w:r>
              <w:rPr>
                <w:rFonts w:hint="eastAsia"/>
                <w:bCs/>
                <w:color w:val="auto"/>
              </w:rPr>
              <w:t xml:space="preserve">    第五十三条</w:t>
            </w:r>
            <w:r>
              <w:rPr>
                <w:rFonts w:hint="eastAsia"/>
                <w:color w:val="auto"/>
              </w:rPr>
              <w:t>　国防科技工业主管部门、公安机关、工商行政管理部门的工作人员，在民用爆炸物品安全监督管理工作中滥用职权、玩忽职守或者徇私舞弊，构成犯罪的，依法追究刑事责任；尚不构成犯罪的，依法给予行政处分。第五十三条　国防科技工业主管部门、公安机关、工商行政管理部门的工作人员，在民用爆炸物品安全监督管理工作中滥用职权、玩忽职守或者徇私舞弊，构成犯罪的，依法追究刑事责任；尚不构成犯罪的，依法给予行政处分。</w:t>
            </w:r>
          </w:p>
        </w:tc>
      </w:tr>
      <w:tr>
        <w:tblPrEx>
          <w:tblLayout w:type="fixed"/>
          <w:tblCellMar>
            <w:top w:w="57" w:type="dxa"/>
            <w:left w:w="57" w:type="dxa"/>
            <w:bottom w:w="57" w:type="dxa"/>
            <w:right w:w="57" w:type="dxa"/>
          </w:tblCellMar>
        </w:tblPrEx>
        <w:trPr>
          <w:trHeight w:val="939" w:hRule="atLeast"/>
        </w:trPr>
        <w:tc>
          <w:tcPr>
            <w:tcW w:w="6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60</w:t>
            </w:r>
          </w:p>
        </w:tc>
        <w:tc>
          <w:tcPr>
            <w:tcW w:w="39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《山西省安全技术防范条例》</w:t>
            </w:r>
          </w:p>
        </w:tc>
        <w:tc>
          <w:tcPr>
            <w:tcW w:w="9498" w:type="dxa"/>
            <w:tcBorders>
              <w:top w:val="nil"/>
              <w:left w:val="nil"/>
              <w:bottom w:val="single" w:color="auto" w:sz="4" w:space="0"/>
              <w:right w:val="single" w:color="auto" w:sz="4" w:space="0"/>
            </w:tcBorders>
            <w:shd w:val="clear" w:color="auto" w:fill="auto"/>
            <w:vAlign w:val="center"/>
          </w:tcPr>
          <w:p>
            <w:pPr>
              <w:pStyle w:val="12"/>
              <w:jc w:val="left"/>
              <w:rPr>
                <w:bCs/>
                <w:color w:val="auto"/>
              </w:rPr>
            </w:pPr>
            <w:r>
              <w:rPr>
                <w:rFonts w:hint="eastAsia"/>
                <w:bCs/>
                <w:color w:val="auto"/>
              </w:rPr>
              <w:t xml:space="preserve">    第三十七条</w:t>
            </w:r>
            <w:r>
              <w:rPr>
                <w:rFonts w:hint="eastAsia"/>
                <w:color w:val="auto"/>
              </w:rPr>
              <w:t xml:space="preserve"> 公安机关及其工作人员在安全技术防范工作中滥用职权、玩忽职守、徇私舞弊的，依法给予处分;构成犯罪的，依法追究刑事责任。</w:t>
            </w:r>
          </w:p>
        </w:tc>
      </w:tr>
      <w:tr>
        <w:tblPrEx>
          <w:tblLayout w:type="fixed"/>
          <w:tblCellMar>
            <w:top w:w="57" w:type="dxa"/>
            <w:left w:w="57" w:type="dxa"/>
            <w:bottom w:w="57" w:type="dxa"/>
            <w:right w:w="57" w:type="dxa"/>
          </w:tblCellMar>
        </w:tblPrEx>
        <w:trPr>
          <w:trHeight w:val="510" w:hRule="atLeast"/>
        </w:trPr>
        <w:tc>
          <w:tcPr>
            <w:tcW w:w="6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61</w:t>
            </w:r>
          </w:p>
        </w:tc>
        <w:tc>
          <w:tcPr>
            <w:tcW w:w="13466" w:type="dxa"/>
            <w:gridSpan w:val="2"/>
            <w:tcBorders>
              <w:top w:val="single" w:color="auto" w:sz="4" w:space="0"/>
              <w:left w:val="nil"/>
              <w:bottom w:val="single" w:color="auto" w:sz="4" w:space="0"/>
              <w:right w:val="single" w:color="000000" w:sz="4" w:space="0"/>
            </w:tcBorders>
            <w:shd w:val="clear" w:color="auto" w:fill="auto"/>
            <w:vAlign w:val="center"/>
          </w:tcPr>
          <w:p>
            <w:pPr>
              <w:widowControl/>
              <w:ind w:firstLine="4400" w:firstLineChars="2200"/>
              <w:jc w:val="left"/>
              <w:rPr>
                <w:rFonts w:ascii="宋体" w:hAnsi="宋体" w:eastAsia="宋体" w:cs="宋体"/>
                <w:kern w:val="0"/>
                <w:sz w:val="20"/>
                <w:szCs w:val="20"/>
              </w:rPr>
            </w:pPr>
            <w:r>
              <w:rPr>
                <w:rFonts w:hint="eastAsia" w:ascii="宋体" w:hAnsi="宋体" w:eastAsia="宋体" w:cs="宋体"/>
                <w:kern w:val="0"/>
                <w:sz w:val="20"/>
                <w:szCs w:val="20"/>
              </w:rPr>
              <w:t>其他法律法规规章的相关规定。</w:t>
            </w:r>
          </w:p>
        </w:tc>
      </w:tr>
    </w:tbl>
    <w:p>
      <w:pPr>
        <w:pStyle w:val="12"/>
        <w:rPr>
          <w:color w:val="auto"/>
        </w:rPr>
      </w:pPr>
    </w:p>
    <w:p>
      <w:pPr>
        <w:pStyle w:val="12"/>
        <w:rPr>
          <w:color w:val="auto"/>
        </w:rPr>
      </w:pPr>
    </w:p>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418" w:right="1134" w:bottom="1134" w:left="1701"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sdt>
      <w:sdtPr>
        <w:id w:val="50140687"/>
      </w:sdtPr>
      <w:sdtContent>
        <w:r>
          <w:rPr>
            <w:rFonts w:hint="eastAsia"/>
          </w:rPr>
          <w:t>第</w:t>
        </w:r>
        <w:r>
          <w:fldChar w:fldCharType="begin"/>
        </w:r>
        <w:r>
          <w:instrText xml:space="preserve"> PAGE   \* MERGEFORMAT </w:instrText>
        </w:r>
        <w:r>
          <w:fldChar w:fldCharType="separate"/>
        </w:r>
        <w:r>
          <w:rPr>
            <w:lang w:val="zh-CN"/>
          </w:rPr>
          <w:t>13</w:t>
        </w:r>
        <w:r>
          <w:rPr>
            <w:lang w:val="zh-CN"/>
          </w:rPr>
          <w:fldChar w:fldCharType="end"/>
        </w:r>
      </w:sdtContent>
    </w:sdt>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524F7"/>
    <w:rsid w:val="000004B6"/>
    <w:rsid w:val="0000083D"/>
    <w:rsid w:val="00001167"/>
    <w:rsid w:val="000034D6"/>
    <w:rsid w:val="00003A76"/>
    <w:rsid w:val="00003CFF"/>
    <w:rsid w:val="00005293"/>
    <w:rsid w:val="00006682"/>
    <w:rsid w:val="00007504"/>
    <w:rsid w:val="00007521"/>
    <w:rsid w:val="00012992"/>
    <w:rsid w:val="00014E30"/>
    <w:rsid w:val="000152F9"/>
    <w:rsid w:val="000174CE"/>
    <w:rsid w:val="00017C67"/>
    <w:rsid w:val="00020E1D"/>
    <w:rsid w:val="0002296A"/>
    <w:rsid w:val="00022F18"/>
    <w:rsid w:val="000240D9"/>
    <w:rsid w:val="000308FC"/>
    <w:rsid w:val="00032C40"/>
    <w:rsid w:val="000335EC"/>
    <w:rsid w:val="00033777"/>
    <w:rsid w:val="00033BC6"/>
    <w:rsid w:val="00033F4F"/>
    <w:rsid w:val="000341E3"/>
    <w:rsid w:val="00034496"/>
    <w:rsid w:val="00044376"/>
    <w:rsid w:val="000455E1"/>
    <w:rsid w:val="00047C7B"/>
    <w:rsid w:val="00047E82"/>
    <w:rsid w:val="000508CE"/>
    <w:rsid w:val="00050D77"/>
    <w:rsid w:val="00053755"/>
    <w:rsid w:val="00053F1C"/>
    <w:rsid w:val="00055F37"/>
    <w:rsid w:val="00057AA8"/>
    <w:rsid w:val="00057CDB"/>
    <w:rsid w:val="000638CE"/>
    <w:rsid w:val="00063B5A"/>
    <w:rsid w:val="000678BD"/>
    <w:rsid w:val="000737DE"/>
    <w:rsid w:val="00073BB2"/>
    <w:rsid w:val="000741B8"/>
    <w:rsid w:val="00074A5C"/>
    <w:rsid w:val="0007547C"/>
    <w:rsid w:val="00075D87"/>
    <w:rsid w:val="000770C9"/>
    <w:rsid w:val="0007766F"/>
    <w:rsid w:val="00077CA8"/>
    <w:rsid w:val="000802D3"/>
    <w:rsid w:val="000805EE"/>
    <w:rsid w:val="0008069D"/>
    <w:rsid w:val="000818F9"/>
    <w:rsid w:val="00081C82"/>
    <w:rsid w:val="0008390B"/>
    <w:rsid w:val="000842EB"/>
    <w:rsid w:val="000860EF"/>
    <w:rsid w:val="00087713"/>
    <w:rsid w:val="0009109C"/>
    <w:rsid w:val="000916B8"/>
    <w:rsid w:val="00091AC9"/>
    <w:rsid w:val="00092DBB"/>
    <w:rsid w:val="0009323D"/>
    <w:rsid w:val="000A06CD"/>
    <w:rsid w:val="000A06F0"/>
    <w:rsid w:val="000A0D2C"/>
    <w:rsid w:val="000A3B2B"/>
    <w:rsid w:val="000A4CD4"/>
    <w:rsid w:val="000A52D3"/>
    <w:rsid w:val="000A5524"/>
    <w:rsid w:val="000A73F3"/>
    <w:rsid w:val="000B13E5"/>
    <w:rsid w:val="000B1857"/>
    <w:rsid w:val="000B2B14"/>
    <w:rsid w:val="000B3849"/>
    <w:rsid w:val="000B7FDF"/>
    <w:rsid w:val="000C1CB1"/>
    <w:rsid w:val="000C33B7"/>
    <w:rsid w:val="000C5279"/>
    <w:rsid w:val="000C79B5"/>
    <w:rsid w:val="000D07FE"/>
    <w:rsid w:val="000D2452"/>
    <w:rsid w:val="000D4A98"/>
    <w:rsid w:val="000E07C3"/>
    <w:rsid w:val="000E08C7"/>
    <w:rsid w:val="000E16E8"/>
    <w:rsid w:val="000E42AE"/>
    <w:rsid w:val="000E6394"/>
    <w:rsid w:val="000E6D0C"/>
    <w:rsid w:val="000F0FEC"/>
    <w:rsid w:val="000F148A"/>
    <w:rsid w:val="000F158E"/>
    <w:rsid w:val="000F1E35"/>
    <w:rsid w:val="000F1FDC"/>
    <w:rsid w:val="000F3FAE"/>
    <w:rsid w:val="000F4643"/>
    <w:rsid w:val="000F5562"/>
    <w:rsid w:val="000F57F5"/>
    <w:rsid w:val="000F5D81"/>
    <w:rsid w:val="000F77ED"/>
    <w:rsid w:val="0010214E"/>
    <w:rsid w:val="00102454"/>
    <w:rsid w:val="00104B02"/>
    <w:rsid w:val="00105F46"/>
    <w:rsid w:val="001118AE"/>
    <w:rsid w:val="0011240E"/>
    <w:rsid w:val="001171B1"/>
    <w:rsid w:val="001174F7"/>
    <w:rsid w:val="00121F1B"/>
    <w:rsid w:val="001224CF"/>
    <w:rsid w:val="00122A9D"/>
    <w:rsid w:val="00123BDD"/>
    <w:rsid w:val="001246F0"/>
    <w:rsid w:val="00125157"/>
    <w:rsid w:val="001254D0"/>
    <w:rsid w:val="00125EC9"/>
    <w:rsid w:val="001263D5"/>
    <w:rsid w:val="00134965"/>
    <w:rsid w:val="00140C4D"/>
    <w:rsid w:val="00141B80"/>
    <w:rsid w:val="00142434"/>
    <w:rsid w:val="00142EC1"/>
    <w:rsid w:val="0014319A"/>
    <w:rsid w:val="00143A01"/>
    <w:rsid w:val="0014476A"/>
    <w:rsid w:val="0014528E"/>
    <w:rsid w:val="00145E73"/>
    <w:rsid w:val="0014727E"/>
    <w:rsid w:val="0015166A"/>
    <w:rsid w:val="00151BCC"/>
    <w:rsid w:val="00152D99"/>
    <w:rsid w:val="00153E52"/>
    <w:rsid w:val="00154F2D"/>
    <w:rsid w:val="001567D0"/>
    <w:rsid w:val="00156D98"/>
    <w:rsid w:val="001604E7"/>
    <w:rsid w:val="00161732"/>
    <w:rsid w:val="00164B25"/>
    <w:rsid w:val="00166144"/>
    <w:rsid w:val="0016659F"/>
    <w:rsid w:val="00166A34"/>
    <w:rsid w:val="00171FDC"/>
    <w:rsid w:val="00174C37"/>
    <w:rsid w:val="00174C52"/>
    <w:rsid w:val="001760E6"/>
    <w:rsid w:val="001772AA"/>
    <w:rsid w:val="00177539"/>
    <w:rsid w:val="00177CB6"/>
    <w:rsid w:val="001818DA"/>
    <w:rsid w:val="001823A6"/>
    <w:rsid w:val="001845C0"/>
    <w:rsid w:val="0018523D"/>
    <w:rsid w:val="00185CC7"/>
    <w:rsid w:val="00190456"/>
    <w:rsid w:val="00191A25"/>
    <w:rsid w:val="00191F34"/>
    <w:rsid w:val="00191F60"/>
    <w:rsid w:val="001922E3"/>
    <w:rsid w:val="001925DD"/>
    <w:rsid w:val="001945FB"/>
    <w:rsid w:val="001948D3"/>
    <w:rsid w:val="00194CC9"/>
    <w:rsid w:val="0019532C"/>
    <w:rsid w:val="00195AE4"/>
    <w:rsid w:val="00195C3F"/>
    <w:rsid w:val="001A08E4"/>
    <w:rsid w:val="001A1163"/>
    <w:rsid w:val="001A3232"/>
    <w:rsid w:val="001A5CCF"/>
    <w:rsid w:val="001B025A"/>
    <w:rsid w:val="001B18D1"/>
    <w:rsid w:val="001B2798"/>
    <w:rsid w:val="001B7E28"/>
    <w:rsid w:val="001C27B1"/>
    <w:rsid w:val="001C36EA"/>
    <w:rsid w:val="001C6B30"/>
    <w:rsid w:val="001D2F92"/>
    <w:rsid w:val="001D38C6"/>
    <w:rsid w:val="001D5352"/>
    <w:rsid w:val="001D7A51"/>
    <w:rsid w:val="001E243C"/>
    <w:rsid w:val="001E439A"/>
    <w:rsid w:val="001E6512"/>
    <w:rsid w:val="001E754B"/>
    <w:rsid w:val="001F1294"/>
    <w:rsid w:val="001F12B2"/>
    <w:rsid w:val="001F2429"/>
    <w:rsid w:val="001F519C"/>
    <w:rsid w:val="002028A0"/>
    <w:rsid w:val="00203710"/>
    <w:rsid w:val="00204118"/>
    <w:rsid w:val="00206D89"/>
    <w:rsid w:val="00213A95"/>
    <w:rsid w:val="002140DA"/>
    <w:rsid w:val="0021463D"/>
    <w:rsid w:val="00214C38"/>
    <w:rsid w:val="0022196C"/>
    <w:rsid w:val="00222C39"/>
    <w:rsid w:val="002238E0"/>
    <w:rsid w:val="00223E25"/>
    <w:rsid w:val="00226CF9"/>
    <w:rsid w:val="0023100A"/>
    <w:rsid w:val="00231306"/>
    <w:rsid w:val="0023138D"/>
    <w:rsid w:val="002349FF"/>
    <w:rsid w:val="00234D15"/>
    <w:rsid w:val="00236063"/>
    <w:rsid w:val="00236A43"/>
    <w:rsid w:val="00237E5C"/>
    <w:rsid w:val="0024012E"/>
    <w:rsid w:val="0024149E"/>
    <w:rsid w:val="002416F7"/>
    <w:rsid w:val="00242C9A"/>
    <w:rsid w:val="00242D37"/>
    <w:rsid w:val="002432C0"/>
    <w:rsid w:val="002445FB"/>
    <w:rsid w:val="002450E6"/>
    <w:rsid w:val="00246479"/>
    <w:rsid w:val="0025084F"/>
    <w:rsid w:val="00250F7B"/>
    <w:rsid w:val="002514B2"/>
    <w:rsid w:val="00251959"/>
    <w:rsid w:val="002521CC"/>
    <w:rsid w:val="002521E5"/>
    <w:rsid w:val="00252DF5"/>
    <w:rsid w:val="00254CD6"/>
    <w:rsid w:val="00255024"/>
    <w:rsid w:val="00256554"/>
    <w:rsid w:val="002604F4"/>
    <w:rsid w:val="0026230E"/>
    <w:rsid w:val="002626E1"/>
    <w:rsid w:val="0026287C"/>
    <w:rsid w:val="00263DEC"/>
    <w:rsid w:val="0026424B"/>
    <w:rsid w:val="002642A4"/>
    <w:rsid w:val="00266EAF"/>
    <w:rsid w:val="00267F02"/>
    <w:rsid w:val="002703D7"/>
    <w:rsid w:val="002704DF"/>
    <w:rsid w:val="00272AB9"/>
    <w:rsid w:val="002744A0"/>
    <w:rsid w:val="00275A70"/>
    <w:rsid w:val="00275CF8"/>
    <w:rsid w:val="002770BA"/>
    <w:rsid w:val="002779ED"/>
    <w:rsid w:val="0029028C"/>
    <w:rsid w:val="00291AC6"/>
    <w:rsid w:val="00292468"/>
    <w:rsid w:val="002951B8"/>
    <w:rsid w:val="002959B1"/>
    <w:rsid w:val="00297FBA"/>
    <w:rsid w:val="002A0B99"/>
    <w:rsid w:val="002A0EA3"/>
    <w:rsid w:val="002A26EF"/>
    <w:rsid w:val="002A2EF7"/>
    <w:rsid w:val="002A36AA"/>
    <w:rsid w:val="002A428C"/>
    <w:rsid w:val="002A5526"/>
    <w:rsid w:val="002A5BD8"/>
    <w:rsid w:val="002A5F87"/>
    <w:rsid w:val="002A679E"/>
    <w:rsid w:val="002A6BBB"/>
    <w:rsid w:val="002A7209"/>
    <w:rsid w:val="002A759D"/>
    <w:rsid w:val="002B10E4"/>
    <w:rsid w:val="002B245C"/>
    <w:rsid w:val="002B2AF5"/>
    <w:rsid w:val="002B3050"/>
    <w:rsid w:val="002B5DB0"/>
    <w:rsid w:val="002B5DB5"/>
    <w:rsid w:val="002B62D4"/>
    <w:rsid w:val="002B67C0"/>
    <w:rsid w:val="002C039F"/>
    <w:rsid w:val="002C09F8"/>
    <w:rsid w:val="002C41DA"/>
    <w:rsid w:val="002C5767"/>
    <w:rsid w:val="002C6461"/>
    <w:rsid w:val="002C7B03"/>
    <w:rsid w:val="002D1517"/>
    <w:rsid w:val="002D1600"/>
    <w:rsid w:val="002D2E87"/>
    <w:rsid w:val="002D2F36"/>
    <w:rsid w:val="002D4FB1"/>
    <w:rsid w:val="002D5259"/>
    <w:rsid w:val="002D5653"/>
    <w:rsid w:val="002D6134"/>
    <w:rsid w:val="002D61A5"/>
    <w:rsid w:val="002D74B9"/>
    <w:rsid w:val="002E2293"/>
    <w:rsid w:val="002E2A62"/>
    <w:rsid w:val="002E61DB"/>
    <w:rsid w:val="002E73C4"/>
    <w:rsid w:val="002F0AFF"/>
    <w:rsid w:val="002F25CD"/>
    <w:rsid w:val="002F355B"/>
    <w:rsid w:val="002F35A1"/>
    <w:rsid w:val="002F3A46"/>
    <w:rsid w:val="002F3D4F"/>
    <w:rsid w:val="002F4FCB"/>
    <w:rsid w:val="002F5035"/>
    <w:rsid w:val="002F5C16"/>
    <w:rsid w:val="002F5D89"/>
    <w:rsid w:val="002F64CA"/>
    <w:rsid w:val="002F7E31"/>
    <w:rsid w:val="0030481B"/>
    <w:rsid w:val="00304D36"/>
    <w:rsid w:val="00305763"/>
    <w:rsid w:val="00305A8B"/>
    <w:rsid w:val="00305EFA"/>
    <w:rsid w:val="003160DB"/>
    <w:rsid w:val="003163CE"/>
    <w:rsid w:val="00317D24"/>
    <w:rsid w:val="003218B9"/>
    <w:rsid w:val="00326F9D"/>
    <w:rsid w:val="00327917"/>
    <w:rsid w:val="00327BDA"/>
    <w:rsid w:val="00331E8E"/>
    <w:rsid w:val="0033291F"/>
    <w:rsid w:val="00332C32"/>
    <w:rsid w:val="0033365E"/>
    <w:rsid w:val="00333A09"/>
    <w:rsid w:val="00334831"/>
    <w:rsid w:val="00334EE2"/>
    <w:rsid w:val="003402D6"/>
    <w:rsid w:val="00342787"/>
    <w:rsid w:val="00346469"/>
    <w:rsid w:val="00350EBE"/>
    <w:rsid w:val="003517A6"/>
    <w:rsid w:val="00353582"/>
    <w:rsid w:val="003546B7"/>
    <w:rsid w:val="0035534C"/>
    <w:rsid w:val="0035604E"/>
    <w:rsid w:val="00360EA9"/>
    <w:rsid w:val="00362E51"/>
    <w:rsid w:val="0036508D"/>
    <w:rsid w:val="00365CA0"/>
    <w:rsid w:val="00367A58"/>
    <w:rsid w:val="00370763"/>
    <w:rsid w:val="00371467"/>
    <w:rsid w:val="003714D5"/>
    <w:rsid w:val="00372C8A"/>
    <w:rsid w:val="00372CCB"/>
    <w:rsid w:val="00372D6D"/>
    <w:rsid w:val="00373A79"/>
    <w:rsid w:val="00374283"/>
    <w:rsid w:val="0037476E"/>
    <w:rsid w:val="00374B0E"/>
    <w:rsid w:val="003759E7"/>
    <w:rsid w:val="00376789"/>
    <w:rsid w:val="003769EF"/>
    <w:rsid w:val="00380148"/>
    <w:rsid w:val="00381DF7"/>
    <w:rsid w:val="00383AFB"/>
    <w:rsid w:val="0038417F"/>
    <w:rsid w:val="003855DD"/>
    <w:rsid w:val="0038564C"/>
    <w:rsid w:val="00385B9D"/>
    <w:rsid w:val="00386F37"/>
    <w:rsid w:val="003872DA"/>
    <w:rsid w:val="00387B17"/>
    <w:rsid w:val="00393C08"/>
    <w:rsid w:val="003950E5"/>
    <w:rsid w:val="00396B50"/>
    <w:rsid w:val="003A3706"/>
    <w:rsid w:val="003A496E"/>
    <w:rsid w:val="003A6153"/>
    <w:rsid w:val="003A65A5"/>
    <w:rsid w:val="003B12E0"/>
    <w:rsid w:val="003B263C"/>
    <w:rsid w:val="003B2640"/>
    <w:rsid w:val="003B5A05"/>
    <w:rsid w:val="003B79FE"/>
    <w:rsid w:val="003C12E3"/>
    <w:rsid w:val="003C19BB"/>
    <w:rsid w:val="003C3B7C"/>
    <w:rsid w:val="003D2414"/>
    <w:rsid w:val="003D24D4"/>
    <w:rsid w:val="003D24F0"/>
    <w:rsid w:val="003D3C44"/>
    <w:rsid w:val="003D45FB"/>
    <w:rsid w:val="003D76D8"/>
    <w:rsid w:val="003D7EAE"/>
    <w:rsid w:val="003E1C33"/>
    <w:rsid w:val="003E2648"/>
    <w:rsid w:val="003E3106"/>
    <w:rsid w:val="003E66BF"/>
    <w:rsid w:val="003E7968"/>
    <w:rsid w:val="003F0931"/>
    <w:rsid w:val="003F12A1"/>
    <w:rsid w:val="003F12C0"/>
    <w:rsid w:val="003F35DA"/>
    <w:rsid w:val="003F3762"/>
    <w:rsid w:val="003F442D"/>
    <w:rsid w:val="003F61FA"/>
    <w:rsid w:val="003F776C"/>
    <w:rsid w:val="004041AD"/>
    <w:rsid w:val="00405CC6"/>
    <w:rsid w:val="00406D5C"/>
    <w:rsid w:val="00412598"/>
    <w:rsid w:val="00412C32"/>
    <w:rsid w:val="004204AD"/>
    <w:rsid w:val="004246CE"/>
    <w:rsid w:val="00424D32"/>
    <w:rsid w:val="004267AD"/>
    <w:rsid w:val="004279E2"/>
    <w:rsid w:val="0043047E"/>
    <w:rsid w:val="0043095B"/>
    <w:rsid w:val="00431DD6"/>
    <w:rsid w:val="00433B9C"/>
    <w:rsid w:val="00433FB0"/>
    <w:rsid w:val="00434F95"/>
    <w:rsid w:val="00436CFE"/>
    <w:rsid w:val="0043753E"/>
    <w:rsid w:val="00437CB7"/>
    <w:rsid w:val="00440BEA"/>
    <w:rsid w:val="00441AEC"/>
    <w:rsid w:val="00442A72"/>
    <w:rsid w:val="004430DB"/>
    <w:rsid w:val="004438BC"/>
    <w:rsid w:val="004444E9"/>
    <w:rsid w:val="00447382"/>
    <w:rsid w:val="00447F4F"/>
    <w:rsid w:val="00447FB8"/>
    <w:rsid w:val="004504DA"/>
    <w:rsid w:val="004511AF"/>
    <w:rsid w:val="004511D9"/>
    <w:rsid w:val="00454473"/>
    <w:rsid w:val="00454618"/>
    <w:rsid w:val="0045462C"/>
    <w:rsid w:val="00454BD2"/>
    <w:rsid w:val="00455794"/>
    <w:rsid w:val="0045747D"/>
    <w:rsid w:val="00461301"/>
    <w:rsid w:val="0046155B"/>
    <w:rsid w:val="0046173B"/>
    <w:rsid w:val="004618E2"/>
    <w:rsid w:val="00461D92"/>
    <w:rsid w:val="004653CD"/>
    <w:rsid w:val="00465A9C"/>
    <w:rsid w:val="00466247"/>
    <w:rsid w:val="00471626"/>
    <w:rsid w:val="0047346C"/>
    <w:rsid w:val="004741A5"/>
    <w:rsid w:val="0047459B"/>
    <w:rsid w:val="00475F2F"/>
    <w:rsid w:val="00477541"/>
    <w:rsid w:val="0047783A"/>
    <w:rsid w:val="00483BDA"/>
    <w:rsid w:val="00483C4C"/>
    <w:rsid w:val="00484E38"/>
    <w:rsid w:val="00484F34"/>
    <w:rsid w:val="00487DEC"/>
    <w:rsid w:val="00491535"/>
    <w:rsid w:val="0049237A"/>
    <w:rsid w:val="004932AA"/>
    <w:rsid w:val="004942EA"/>
    <w:rsid w:val="00494A4E"/>
    <w:rsid w:val="00494B64"/>
    <w:rsid w:val="00495FA6"/>
    <w:rsid w:val="004964C8"/>
    <w:rsid w:val="00497185"/>
    <w:rsid w:val="00497B85"/>
    <w:rsid w:val="004A1152"/>
    <w:rsid w:val="004A2A60"/>
    <w:rsid w:val="004A43CD"/>
    <w:rsid w:val="004A4B24"/>
    <w:rsid w:val="004A5741"/>
    <w:rsid w:val="004A5E50"/>
    <w:rsid w:val="004B0A0D"/>
    <w:rsid w:val="004B0AB1"/>
    <w:rsid w:val="004B10A7"/>
    <w:rsid w:val="004B1502"/>
    <w:rsid w:val="004B17CE"/>
    <w:rsid w:val="004B4CF6"/>
    <w:rsid w:val="004C07D8"/>
    <w:rsid w:val="004C11F9"/>
    <w:rsid w:val="004C192D"/>
    <w:rsid w:val="004C42B8"/>
    <w:rsid w:val="004C4394"/>
    <w:rsid w:val="004C463C"/>
    <w:rsid w:val="004C4DB8"/>
    <w:rsid w:val="004C75D6"/>
    <w:rsid w:val="004C78C9"/>
    <w:rsid w:val="004D0AA2"/>
    <w:rsid w:val="004D17F5"/>
    <w:rsid w:val="004D1C55"/>
    <w:rsid w:val="004D3E43"/>
    <w:rsid w:val="004D49A9"/>
    <w:rsid w:val="004D5F3B"/>
    <w:rsid w:val="004D6372"/>
    <w:rsid w:val="004D66AD"/>
    <w:rsid w:val="004E0268"/>
    <w:rsid w:val="004E16E5"/>
    <w:rsid w:val="004E3DC0"/>
    <w:rsid w:val="004E42C1"/>
    <w:rsid w:val="004E555B"/>
    <w:rsid w:val="004E5D75"/>
    <w:rsid w:val="004F0D41"/>
    <w:rsid w:val="004F336B"/>
    <w:rsid w:val="004F379C"/>
    <w:rsid w:val="004F5C62"/>
    <w:rsid w:val="004F62B8"/>
    <w:rsid w:val="004F7D3C"/>
    <w:rsid w:val="004F7E9E"/>
    <w:rsid w:val="005005F4"/>
    <w:rsid w:val="005009A1"/>
    <w:rsid w:val="00501E90"/>
    <w:rsid w:val="00501F2D"/>
    <w:rsid w:val="00502818"/>
    <w:rsid w:val="00502A31"/>
    <w:rsid w:val="005030F0"/>
    <w:rsid w:val="005031AD"/>
    <w:rsid w:val="00503486"/>
    <w:rsid w:val="005047BD"/>
    <w:rsid w:val="0050552C"/>
    <w:rsid w:val="00505D8A"/>
    <w:rsid w:val="00507809"/>
    <w:rsid w:val="00507B7F"/>
    <w:rsid w:val="0051283B"/>
    <w:rsid w:val="00512B0B"/>
    <w:rsid w:val="005139B3"/>
    <w:rsid w:val="00516BBE"/>
    <w:rsid w:val="005213C5"/>
    <w:rsid w:val="00524B0C"/>
    <w:rsid w:val="00531D23"/>
    <w:rsid w:val="00532FC2"/>
    <w:rsid w:val="005331AA"/>
    <w:rsid w:val="005334AC"/>
    <w:rsid w:val="00533FC7"/>
    <w:rsid w:val="005377D9"/>
    <w:rsid w:val="0053784D"/>
    <w:rsid w:val="005415B7"/>
    <w:rsid w:val="00541B4B"/>
    <w:rsid w:val="00541FEE"/>
    <w:rsid w:val="005426E3"/>
    <w:rsid w:val="0054344C"/>
    <w:rsid w:val="00543B87"/>
    <w:rsid w:val="00546E4E"/>
    <w:rsid w:val="005474D1"/>
    <w:rsid w:val="00547561"/>
    <w:rsid w:val="005524F7"/>
    <w:rsid w:val="00553FB4"/>
    <w:rsid w:val="005555A4"/>
    <w:rsid w:val="00555856"/>
    <w:rsid w:val="0056129B"/>
    <w:rsid w:val="005618C0"/>
    <w:rsid w:val="00561B7A"/>
    <w:rsid w:val="00562F3D"/>
    <w:rsid w:val="00564987"/>
    <w:rsid w:val="00567828"/>
    <w:rsid w:val="005727FC"/>
    <w:rsid w:val="00573CFE"/>
    <w:rsid w:val="005747E9"/>
    <w:rsid w:val="005757C0"/>
    <w:rsid w:val="00576F18"/>
    <w:rsid w:val="00581C0A"/>
    <w:rsid w:val="00582D24"/>
    <w:rsid w:val="0058386C"/>
    <w:rsid w:val="00585B02"/>
    <w:rsid w:val="00591AD5"/>
    <w:rsid w:val="00592A48"/>
    <w:rsid w:val="00593657"/>
    <w:rsid w:val="00593A9E"/>
    <w:rsid w:val="005951DB"/>
    <w:rsid w:val="0059543E"/>
    <w:rsid w:val="005957BB"/>
    <w:rsid w:val="00595D74"/>
    <w:rsid w:val="005A2621"/>
    <w:rsid w:val="005A4E77"/>
    <w:rsid w:val="005A5088"/>
    <w:rsid w:val="005A6F25"/>
    <w:rsid w:val="005A718F"/>
    <w:rsid w:val="005B0A00"/>
    <w:rsid w:val="005B15CF"/>
    <w:rsid w:val="005B1ED0"/>
    <w:rsid w:val="005B270C"/>
    <w:rsid w:val="005B38D0"/>
    <w:rsid w:val="005B3A4B"/>
    <w:rsid w:val="005B515A"/>
    <w:rsid w:val="005B5455"/>
    <w:rsid w:val="005B5CA4"/>
    <w:rsid w:val="005B72CB"/>
    <w:rsid w:val="005C0885"/>
    <w:rsid w:val="005C208D"/>
    <w:rsid w:val="005C3F21"/>
    <w:rsid w:val="005C55B4"/>
    <w:rsid w:val="005C64EE"/>
    <w:rsid w:val="005C74DD"/>
    <w:rsid w:val="005C7CD3"/>
    <w:rsid w:val="005C7DBD"/>
    <w:rsid w:val="005C7DC7"/>
    <w:rsid w:val="005D006D"/>
    <w:rsid w:val="005D10F9"/>
    <w:rsid w:val="005D156D"/>
    <w:rsid w:val="005D3489"/>
    <w:rsid w:val="005D3994"/>
    <w:rsid w:val="005D51E8"/>
    <w:rsid w:val="005D5B48"/>
    <w:rsid w:val="005D5C26"/>
    <w:rsid w:val="005D7CE8"/>
    <w:rsid w:val="005E0450"/>
    <w:rsid w:val="005E068A"/>
    <w:rsid w:val="005E3C11"/>
    <w:rsid w:val="005E4651"/>
    <w:rsid w:val="005E50D4"/>
    <w:rsid w:val="005E714A"/>
    <w:rsid w:val="005E7F96"/>
    <w:rsid w:val="005F14AA"/>
    <w:rsid w:val="005F1CA6"/>
    <w:rsid w:val="005F5AB7"/>
    <w:rsid w:val="005F5E91"/>
    <w:rsid w:val="005F62B6"/>
    <w:rsid w:val="005F7885"/>
    <w:rsid w:val="005F7E18"/>
    <w:rsid w:val="00603270"/>
    <w:rsid w:val="006035BE"/>
    <w:rsid w:val="00604407"/>
    <w:rsid w:val="006048D1"/>
    <w:rsid w:val="006052C1"/>
    <w:rsid w:val="006053E9"/>
    <w:rsid w:val="006063BF"/>
    <w:rsid w:val="00606808"/>
    <w:rsid w:val="00606849"/>
    <w:rsid w:val="00606D9D"/>
    <w:rsid w:val="0061192B"/>
    <w:rsid w:val="006136EA"/>
    <w:rsid w:val="006137C8"/>
    <w:rsid w:val="00615935"/>
    <w:rsid w:val="00617780"/>
    <w:rsid w:val="00620EF2"/>
    <w:rsid w:val="006222B3"/>
    <w:rsid w:val="00622C48"/>
    <w:rsid w:val="00624F6C"/>
    <w:rsid w:val="0062551B"/>
    <w:rsid w:val="00625AAC"/>
    <w:rsid w:val="00627B48"/>
    <w:rsid w:val="006302C4"/>
    <w:rsid w:val="006303F8"/>
    <w:rsid w:val="00630A31"/>
    <w:rsid w:val="00631820"/>
    <w:rsid w:val="0063297C"/>
    <w:rsid w:val="006339E4"/>
    <w:rsid w:val="006357CC"/>
    <w:rsid w:val="00635E22"/>
    <w:rsid w:val="006374F7"/>
    <w:rsid w:val="00637840"/>
    <w:rsid w:val="006400A9"/>
    <w:rsid w:val="00642058"/>
    <w:rsid w:val="00643642"/>
    <w:rsid w:val="006471EF"/>
    <w:rsid w:val="006509AB"/>
    <w:rsid w:val="00652C99"/>
    <w:rsid w:val="006537C2"/>
    <w:rsid w:val="00656A09"/>
    <w:rsid w:val="00656D38"/>
    <w:rsid w:val="006605EB"/>
    <w:rsid w:val="00661028"/>
    <w:rsid w:val="00665123"/>
    <w:rsid w:val="006653D2"/>
    <w:rsid w:val="00670AB1"/>
    <w:rsid w:val="0067278E"/>
    <w:rsid w:val="006736C0"/>
    <w:rsid w:val="00673A05"/>
    <w:rsid w:val="00673D2D"/>
    <w:rsid w:val="00675F0D"/>
    <w:rsid w:val="0067774B"/>
    <w:rsid w:val="00681BBD"/>
    <w:rsid w:val="00683581"/>
    <w:rsid w:val="00683F4D"/>
    <w:rsid w:val="00684454"/>
    <w:rsid w:val="0068473E"/>
    <w:rsid w:val="00686BAB"/>
    <w:rsid w:val="00686D26"/>
    <w:rsid w:val="006874A4"/>
    <w:rsid w:val="006922B9"/>
    <w:rsid w:val="00693488"/>
    <w:rsid w:val="006967FB"/>
    <w:rsid w:val="0069700F"/>
    <w:rsid w:val="00697448"/>
    <w:rsid w:val="006A0B38"/>
    <w:rsid w:val="006A0EFF"/>
    <w:rsid w:val="006A467F"/>
    <w:rsid w:val="006A597F"/>
    <w:rsid w:val="006B0B04"/>
    <w:rsid w:val="006B1074"/>
    <w:rsid w:val="006B2CD8"/>
    <w:rsid w:val="006B3151"/>
    <w:rsid w:val="006B39BE"/>
    <w:rsid w:val="006B5AE4"/>
    <w:rsid w:val="006B709F"/>
    <w:rsid w:val="006B714C"/>
    <w:rsid w:val="006C3B18"/>
    <w:rsid w:val="006C41D8"/>
    <w:rsid w:val="006C4A9B"/>
    <w:rsid w:val="006C5E30"/>
    <w:rsid w:val="006C7CFE"/>
    <w:rsid w:val="006D042C"/>
    <w:rsid w:val="006D19F1"/>
    <w:rsid w:val="006D2986"/>
    <w:rsid w:val="006D2DB0"/>
    <w:rsid w:val="006D693C"/>
    <w:rsid w:val="006E09B8"/>
    <w:rsid w:val="006E1766"/>
    <w:rsid w:val="006E266C"/>
    <w:rsid w:val="006E6F4F"/>
    <w:rsid w:val="006E707E"/>
    <w:rsid w:val="006F0CC5"/>
    <w:rsid w:val="006F1011"/>
    <w:rsid w:val="006F191C"/>
    <w:rsid w:val="006F1D58"/>
    <w:rsid w:val="006F1E23"/>
    <w:rsid w:val="006F2A5B"/>
    <w:rsid w:val="006F3B84"/>
    <w:rsid w:val="006F3F0C"/>
    <w:rsid w:val="006F54B3"/>
    <w:rsid w:val="00702582"/>
    <w:rsid w:val="0070397B"/>
    <w:rsid w:val="007051E4"/>
    <w:rsid w:val="0070610E"/>
    <w:rsid w:val="00706E3C"/>
    <w:rsid w:val="00707392"/>
    <w:rsid w:val="00707FFA"/>
    <w:rsid w:val="00710E17"/>
    <w:rsid w:val="0071168A"/>
    <w:rsid w:val="00711991"/>
    <w:rsid w:val="007122FF"/>
    <w:rsid w:val="0071253F"/>
    <w:rsid w:val="0071261A"/>
    <w:rsid w:val="00712D38"/>
    <w:rsid w:val="00715035"/>
    <w:rsid w:val="007154B5"/>
    <w:rsid w:val="0071632A"/>
    <w:rsid w:val="00717C7A"/>
    <w:rsid w:val="00720FA3"/>
    <w:rsid w:val="007238D6"/>
    <w:rsid w:val="00724082"/>
    <w:rsid w:val="00724E51"/>
    <w:rsid w:val="00726AFD"/>
    <w:rsid w:val="00727B64"/>
    <w:rsid w:val="007308B3"/>
    <w:rsid w:val="0073107D"/>
    <w:rsid w:val="007320F0"/>
    <w:rsid w:val="00732212"/>
    <w:rsid w:val="00732A45"/>
    <w:rsid w:val="00734B5A"/>
    <w:rsid w:val="00735252"/>
    <w:rsid w:val="00736201"/>
    <w:rsid w:val="00736358"/>
    <w:rsid w:val="00737BB7"/>
    <w:rsid w:val="00740015"/>
    <w:rsid w:val="0074056B"/>
    <w:rsid w:val="00743986"/>
    <w:rsid w:val="0074572B"/>
    <w:rsid w:val="00750A61"/>
    <w:rsid w:val="00750A66"/>
    <w:rsid w:val="00752381"/>
    <w:rsid w:val="00752952"/>
    <w:rsid w:val="00753524"/>
    <w:rsid w:val="0075509D"/>
    <w:rsid w:val="00755834"/>
    <w:rsid w:val="00756217"/>
    <w:rsid w:val="00757421"/>
    <w:rsid w:val="007605F5"/>
    <w:rsid w:val="007617E7"/>
    <w:rsid w:val="007627AD"/>
    <w:rsid w:val="00763F6D"/>
    <w:rsid w:val="00765257"/>
    <w:rsid w:val="00767085"/>
    <w:rsid w:val="0077037D"/>
    <w:rsid w:val="00770584"/>
    <w:rsid w:val="00770EA3"/>
    <w:rsid w:val="00771EB8"/>
    <w:rsid w:val="00773AAF"/>
    <w:rsid w:val="007745B1"/>
    <w:rsid w:val="00774B8A"/>
    <w:rsid w:val="00777032"/>
    <w:rsid w:val="007826B0"/>
    <w:rsid w:val="007840F6"/>
    <w:rsid w:val="007850B8"/>
    <w:rsid w:val="00787D13"/>
    <w:rsid w:val="007909E3"/>
    <w:rsid w:val="00790F89"/>
    <w:rsid w:val="00791464"/>
    <w:rsid w:val="00791836"/>
    <w:rsid w:val="007927F0"/>
    <w:rsid w:val="00793311"/>
    <w:rsid w:val="00793B00"/>
    <w:rsid w:val="00795670"/>
    <w:rsid w:val="007958DB"/>
    <w:rsid w:val="0079646C"/>
    <w:rsid w:val="00796631"/>
    <w:rsid w:val="007971CF"/>
    <w:rsid w:val="007A1D94"/>
    <w:rsid w:val="007A50ED"/>
    <w:rsid w:val="007A7824"/>
    <w:rsid w:val="007B02CD"/>
    <w:rsid w:val="007B0660"/>
    <w:rsid w:val="007B08B0"/>
    <w:rsid w:val="007B10E2"/>
    <w:rsid w:val="007B2BE0"/>
    <w:rsid w:val="007B4090"/>
    <w:rsid w:val="007B550E"/>
    <w:rsid w:val="007B70CE"/>
    <w:rsid w:val="007B7D50"/>
    <w:rsid w:val="007C1D10"/>
    <w:rsid w:val="007C34C1"/>
    <w:rsid w:val="007C57A5"/>
    <w:rsid w:val="007C6217"/>
    <w:rsid w:val="007C6CAF"/>
    <w:rsid w:val="007C6E26"/>
    <w:rsid w:val="007D1C9D"/>
    <w:rsid w:val="007D74D3"/>
    <w:rsid w:val="007E0036"/>
    <w:rsid w:val="007E1A81"/>
    <w:rsid w:val="007E2B6A"/>
    <w:rsid w:val="007E3264"/>
    <w:rsid w:val="007E38ED"/>
    <w:rsid w:val="007E4896"/>
    <w:rsid w:val="007E55F5"/>
    <w:rsid w:val="007E5AA8"/>
    <w:rsid w:val="007E674D"/>
    <w:rsid w:val="007F0FDA"/>
    <w:rsid w:val="007F1B4D"/>
    <w:rsid w:val="007F2490"/>
    <w:rsid w:val="007F3E5F"/>
    <w:rsid w:val="007F6276"/>
    <w:rsid w:val="007F6632"/>
    <w:rsid w:val="007F72DA"/>
    <w:rsid w:val="0080057F"/>
    <w:rsid w:val="0080227B"/>
    <w:rsid w:val="008023E5"/>
    <w:rsid w:val="008029C0"/>
    <w:rsid w:val="00802F08"/>
    <w:rsid w:val="00804332"/>
    <w:rsid w:val="0080680A"/>
    <w:rsid w:val="00806FD2"/>
    <w:rsid w:val="00807F10"/>
    <w:rsid w:val="00814B03"/>
    <w:rsid w:val="00815D22"/>
    <w:rsid w:val="008206ED"/>
    <w:rsid w:val="00820C7C"/>
    <w:rsid w:val="00820F09"/>
    <w:rsid w:val="00821166"/>
    <w:rsid w:val="0082121D"/>
    <w:rsid w:val="008227A0"/>
    <w:rsid w:val="00822E47"/>
    <w:rsid w:val="00824AB8"/>
    <w:rsid w:val="0082548B"/>
    <w:rsid w:val="00826423"/>
    <w:rsid w:val="00827562"/>
    <w:rsid w:val="00827578"/>
    <w:rsid w:val="0083030D"/>
    <w:rsid w:val="008310AB"/>
    <w:rsid w:val="00831504"/>
    <w:rsid w:val="00832290"/>
    <w:rsid w:val="00837B3B"/>
    <w:rsid w:val="008413C4"/>
    <w:rsid w:val="0084456B"/>
    <w:rsid w:val="008502FC"/>
    <w:rsid w:val="0085068B"/>
    <w:rsid w:val="008508A6"/>
    <w:rsid w:val="00851357"/>
    <w:rsid w:val="00852895"/>
    <w:rsid w:val="008536BE"/>
    <w:rsid w:val="00854286"/>
    <w:rsid w:val="00855236"/>
    <w:rsid w:val="008558FD"/>
    <w:rsid w:val="00856483"/>
    <w:rsid w:val="00856BB8"/>
    <w:rsid w:val="00857107"/>
    <w:rsid w:val="00861061"/>
    <w:rsid w:val="00862EB4"/>
    <w:rsid w:val="0086358B"/>
    <w:rsid w:val="00863716"/>
    <w:rsid w:val="00864BCA"/>
    <w:rsid w:val="008654A0"/>
    <w:rsid w:val="008655F6"/>
    <w:rsid w:val="008668D0"/>
    <w:rsid w:val="008703F7"/>
    <w:rsid w:val="008704EE"/>
    <w:rsid w:val="008713B2"/>
    <w:rsid w:val="0087286E"/>
    <w:rsid w:val="00872B61"/>
    <w:rsid w:val="00876D66"/>
    <w:rsid w:val="00882297"/>
    <w:rsid w:val="008833AB"/>
    <w:rsid w:val="00883887"/>
    <w:rsid w:val="00884570"/>
    <w:rsid w:val="0088664F"/>
    <w:rsid w:val="008866B4"/>
    <w:rsid w:val="00887CF8"/>
    <w:rsid w:val="0089063E"/>
    <w:rsid w:val="008907D5"/>
    <w:rsid w:val="0089087E"/>
    <w:rsid w:val="00890CE5"/>
    <w:rsid w:val="008921BF"/>
    <w:rsid w:val="00892939"/>
    <w:rsid w:val="00892EB0"/>
    <w:rsid w:val="00892FF2"/>
    <w:rsid w:val="008932FD"/>
    <w:rsid w:val="00894CF5"/>
    <w:rsid w:val="00895533"/>
    <w:rsid w:val="00895A7C"/>
    <w:rsid w:val="00895CBC"/>
    <w:rsid w:val="00897542"/>
    <w:rsid w:val="008A3666"/>
    <w:rsid w:val="008A37F8"/>
    <w:rsid w:val="008A3ACF"/>
    <w:rsid w:val="008A515B"/>
    <w:rsid w:val="008A5D28"/>
    <w:rsid w:val="008A7FA7"/>
    <w:rsid w:val="008B1DC0"/>
    <w:rsid w:val="008B1E3F"/>
    <w:rsid w:val="008B25D9"/>
    <w:rsid w:val="008B296E"/>
    <w:rsid w:val="008B2BF3"/>
    <w:rsid w:val="008B2E6F"/>
    <w:rsid w:val="008B45AD"/>
    <w:rsid w:val="008B4627"/>
    <w:rsid w:val="008B471C"/>
    <w:rsid w:val="008B4AF2"/>
    <w:rsid w:val="008B612F"/>
    <w:rsid w:val="008B70A9"/>
    <w:rsid w:val="008B779D"/>
    <w:rsid w:val="008B7C9E"/>
    <w:rsid w:val="008C14EC"/>
    <w:rsid w:val="008C17E2"/>
    <w:rsid w:val="008C2FA6"/>
    <w:rsid w:val="008C6059"/>
    <w:rsid w:val="008C680A"/>
    <w:rsid w:val="008D012F"/>
    <w:rsid w:val="008D1BCD"/>
    <w:rsid w:val="008D3074"/>
    <w:rsid w:val="008D34A7"/>
    <w:rsid w:val="008D50F4"/>
    <w:rsid w:val="008D5ABE"/>
    <w:rsid w:val="008D6774"/>
    <w:rsid w:val="008E0054"/>
    <w:rsid w:val="008E080F"/>
    <w:rsid w:val="008E08E7"/>
    <w:rsid w:val="008E0C30"/>
    <w:rsid w:val="008E154D"/>
    <w:rsid w:val="008E188E"/>
    <w:rsid w:val="008E3139"/>
    <w:rsid w:val="008E5621"/>
    <w:rsid w:val="008E590D"/>
    <w:rsid w:val="008E6B81"/>
    <w:rsid w:val="008F0C9F"/>
    <w:rsid w:val="008F2BC2"/>
    <w:rsid w:val="008F31FE"/>
    <w:rsid w:val="008F3C49"/>
    <w:rsid w:val="008F41E5"/>
    <w:rsid w:val="008F445C"/>
    <w:rsid w:val="008F6132"/>
    <w:rsid w:val="008F691C"/>
    <w:rsid w:val="008F737A"/>
    <w:rsid w:val="008F780B"/>
    <w:rsid w:val="0090397B"/>
    <w:rsid w:val="00905574"/>
    <w:rsid w:val="009060A7"/>
    <w:rsid w:val="0091196E"/>
    <w:rsid w:val="00913012"/>
    <w:rsid w:val="00913176"/>
    <w:rsid w:val="0091330D"/>
    <w:rsid w:val="009167AA"/>
    <w:rsid w:val="009168DA"/>
    <w:rsid w:val="00917218"/>
    <w:rsid w:val="0092183B"/>
    <w:rsid w:val="00922AF0"/>
    <w:rsid w:val="009240B1"/>
    <w:rsid w:val="00925867"/>
    <w:rsid w:val="009260DB"/>
    <w:rsid w:val="009266A0"/>
    <w:rsid w:val="0092699E"/>
    <w:rsid w:val="00926CB4"/>
    <w:rsid w:val="0093003B"/>
    <w:rsid w:val="00933548"/>
    <w:rsid w:val="00933D2C"/>
    <w:rsid w:val="00934182"/>
    <w:rsid w:val="0093570C"/>
    <w:rsid w:val="00936CF1"/>
    <w:rsid w:val="00937B15"/>
    <w:rsid w:val="00941CF2"/>
    <w:rsid w:val="00941F03"/>
    <w:rsid w:val="00945469"/>
    <w:rsid w:val="0094682E"/>
    <w:rsid w:val="00951717"/>
    <w:rsid w:val="00956D9C"/>
    <w:rsid w:val="00957A1A"/>
    <w:rsid w:val="00960278"/>
    <w:rsid w:val="00962270"/>
    <w:rsid w:val="009623A3"/>
    <w:rsid w:val="009643B9"/>
    <w:rsid w:val="009645B1"/>
    <w:rsid w:val="00965628"/>
    <w:rsid w:val="0096563D"/>
    <w:rsid w:val="009665F8"/>
    <w:rsid w:val="00966AAC"/>
    <w:rsid w:val="00967731"/>
    <w:rsid w:val="00971DD1"/>
    <w:rsid w:val="009734B1"/>
    <w:rsid w:val="00974D2C"/>
    <w:rsid w:val="00976800"/>
    <w:rsid w:val="00977755"/>
    <w:rsid w:val="009820DC"/>
    <w:rsid w:val="0098384E"/>
    <w:rsid w:val="009839D7"/>
    <w:rsid w:val="00984A18"/>
    <w:rsid w:val="0098533E"/>
    <w:rsid w:val="00986714"/>
    <w:rsid w:val="0099011C"/>
    <w:rsid w:val="00990BE4"/>
    <w:rsid w:val="00991370"/>
    <w:rsid w:val="00991459"/>
    <w:rsid w:val="00991FFD"/>
    <w:rsid w:val="009923F5"/>
    <w:rsid w:val="00995821"/>
    <w:rsid w:val="00995C47"/>
    <w:rsid w:val="009A020D"/>
    <w:rsid w:val="009A06CB"/>
    <w:rsid w:val="009A1CB3"/>
    <w:rsid w:val="009A34F2"/>
    <w:rsid w:val="009A614C"/>
    <w:rsid w:val="009A7EDC"/>
    <w:rsid w:val="009B2BC4"/>
    <w:rsid w:val="009B36BB"/>
    <w:rsid w:val="009B49B5"/>
    <w:rsid w:val="009B515E"/>
    <w:rsid w:val="009B55EA"/>
    <w:rsid w:val="009B5DCD"/>
    <w:rsid w:val="009B6838"/>
    <w:rsid w:val="009B6CE5"/>
    <w:rsid w:val="009C020B"/>
    <w:rsid w:val="009C0731"/>
    <w:rsid w:val="009C1CA7"/>
    <w:rsid w:val="009C1DA3"/>
    <w:rsid w:val="009C20E3"/>
    <w:rsid w:val="009C39DD"/>
    <w:rsid w:val="009C3F95"/>
    <w:rsid w:val="009C5361"/>
    <w:rsid w:val="009C77B1"/>
    <w:rsid w:val="009D0174"/>
    <w:rsid w:val="009D0A00"/>
    <w:rsid w:val="009D0D3E"/>
    <w:rsid w:val="009D0FB4"/>
    <w:rsid w:val="009D11F9"/>
    <w:rsid w:val="009D1793"/>
    <w:rsid w:val="009D2D65"/>
    <w:rsid w:val="009D3119"/>
    <w:rsid w:val="009D3A17"/>
    <w:rsid w:val="009D3DFF"/>
    <w:rsid w:val="009D459E"/>
    <w:rsid w:val="009D45E1"/>
    <w:rsid w:val="009D4CB3"/>
    <w:rsid w:val="009D5FED"/>
    <w:rsid w:val="009D620E"/>
    <w:rsid w:val="009D6BF7"/>
    <w:rsid w:val="009E189D"/>
    <w:rsid w:val="009E5525"/>
    <w:rsid w:val="009E67AC"/>
    <w:rsid w:val="009E6A65"/>
    <w:rsid w:val="009F0A2A"/>
    <w:rsid w:val="009F1356"/>
    <w:rsid w:val="009F1C5D"/>
    <w:rsid w:val="009F243E"/>
    <w:rsid w:val="009F2726"/>
    <w:rsid w:val="009F2788"/>
    <w:rsid w:val="009F3777"/>
    <w:rsid w:val="009F41B6"/>
    <w:rsid w:val="009F4992"/>
    <w:rsid w:val="009F7808"/>
    <w:rsid w:val="00A00F2C"/>
    <w:rsid w:val="00A00F8B"/>
    <w:rsid w:val="00A01F1E"/>
    <w:rsid w:val="00A02D9E"/>
    <w:rsid w:val="00A0358F"/>
    <w:rsid w:val="00A05773"/>
    <w:rsid w:val="00A070B3"/>
    <w:rsid w:val="00A0757C"/>
    <w:rsid w:val="00A07B31"/>
    <w:rsid w:val="00A07E72"/>
    <w:rsid w:val="00A1061F"/>
    <w:rsid w:val="00A11226"/>
    <w:rsid w:val="00A13047"/>
    <w:rsid w:val="00A14305"/>
    <w:rsid w:val="00A16238"/>
    <w:rsid w:val="00A204B5"/>
    <w:rsid w:val="00A21C0F"/>
    <w:rsid w:val="00A21F30"/>
    <w:rsid w:val="00A24AFF"/>
    <w:rsid w:val="00A256AE"/>
    <w:rsid w:val="00A25CCA"/>
    <w:rsid w:val="00A263EF"/>
    <w:rsid w:val="00A2704D"/>
    <w:rsid w:val="00A27830"/>
    <w:rsid w:val="00A312F7"/>
    <w:rsid w:val="00A3170B"/>
    <w:rsid w:val="00A336CE"/>
    <w:rsid w:val="00A340D7"/>
    <w:rsid w:val="00A3491C"/>
    <w:rsid w:val="00A34AD8"/>
    <w:rsid w:val="00A37280"/>
    <w:rsid w:val="00A37979"/>
    <w:rsid w:val="00A37A10"/>
    <w:rsid w:val="00A37E18"/>
    <w:rsid w:val="00A410C9"/>
    <w:rsid w:val="00A433AE"/>
    <w:rsid w:val="00A43CA4"/>
    <w:rsid w:val="00A43E09"/>
    <w:rsid w:val="00A43F84"/>
    <w:rsid w:val="00A44513"/>
    <w:rsid w:val="00A46979"/>
    <w:rsid w:val="00A47BD5"/>
    <w:rsid w:val="00A557B7"/>
    <w:rsid w:val="00A61D14"/>
    <w:rsid w:val="00A63A32"/>
    <w:rsid w:val="00A653EC"/>
    <w:rsid w:val="00A65580"/>
    <w:rsid w:val="00A6592B"/>
    <w:rsid w:val="00A66DD4"/>
    <w:rsid w:val="00A70374"/>
    <w:rsid w:val="00A7420F"/>
    <w:rsid w:val="00A75610"/>
    <w:rsid w:val="00A75FCC"/>
    <w:rsid w:val="00A773F7"/>
    <w:rsid w:val="00A8127E"/>
    <w:rsid w:val="00A82868"/>
    <w:rsid w:val="00A848CE"/>
    <w:rsid w:val="00A85399"/>
    <w:rsid w:val="00A8764C"/>
    <w:rsid w:val="00A87958"/>
    <w:rsid w:val="00A934A3"/>
    <w:rsid w:val="00A941B1"/>
    <w:rsid w:val="00A94F5D"/>
    <w:rsid w:val="00A9510B"/>
    <w:rsid w:val="00A95DAC"/>
    <w:rsid w:val="00A96012"/>
    <w:rsid w:val="00A9654A"/>
    <w:rsid w:val="00A9740F"/>
    <w:rsid w:val="00AA241F"/>
    <w:rsid w:val="00AB01F2"/>
    <w:rsid w:val="00AB0FF4"/>
    <w:rsid w:val="00AB2AF5"/>
    <w:rsid w:val="00AB2DE7"/>
    <w:rsid w:val="00AB3067"/>
    <w:rsid w:val="00AB3542"/>
    <w:rsid w:val="00AB46E0"/>
    <w:rsid w:val="00AB4D14"/>
    <w:rsid w:val="00AC01D0"/>
    <w:rsid w:val="00AC08B0"/>
    <w:rsid w:val="00AC16BF"/>
    <w:rsid w:val="00AC1DF1"/>
    <w:rsid w:val="00AC2AA0"/>
    <w:rsid w:val="00AC2AA9"/>
    <w:rsid w:val="00AC2D13"/>
    <w:rsid w:val="00AC368C"/>
    <w:rsid w:val="00AC3DC5"/>
    <w:rsid w:val="00AC4D3D"/>
    <w:rsid w:val="00AC6FD3"/>
    <w:rsid w:val="00AD070B"/>
    <w:rsid w:val="00AD1963"/>
    <w:rsid w:val="00AD2941"/>
    <w:rsid w:val="00AD2A07"/>
    <w:rsid w:val="00AD5BC1"/>
    <w:rsid w:val="00AD5D1E"/>
    <w:rsid w:val="00AE0101"/>
    <w:rsid w:val="00AE2895"/>
    <w:rsid w:val="00AE2C6B"/>
    <w:rsid w:val="00AE5306"/>
    <w:rsid w:val="00AF039F"/>
    <w:rsid w:val="00AF06C0"/>
    <w:rsid w:val="00AF32D2"/>
    <w:rsid w:val="00AF3590"/>
    <w:rsid w:val="00AF3DE5"/>
    <w:rsid w:val="00AF4470"/>
    <w:rsid w:val="00AF46B6"/>
    <w:rsid w:val="00AF50FD"/>
    <w:rsid w:val="00AF584C"/>
    <w:rsid w:val="00B02595"/>
    <w:rsid w:val="00B04104"/>
    <w:rsid w:val="00B05677"/>
    <w:rsid w:val="00B05F2E"/>
    <w:rsid w:val="00B0636B"/>
    <w:rsid w:val="00B14235"/>
    <w:rsid w:val="00B153B6"/>
    <w:rsid w:val="00B16E84"/>
    <w:rsid w:val="00B20CB3"/>
    <w:rsid w:val="00B212E1"/>
    <w:rsid w:val="00B21725"/>
    <w:rsid w:val="00B24204"/>
    <w:rsid w:val="00B2558A"/>
    <w:rsid w:val="00B25A73"/>
    <w:rsid w:val="00B30D40"/>
    <w:rsid w:val="00B30F65"/>
    <w:rsid w:val="00B30F96"/>
    <w:rsid w:val="00B31481"/>
    <w:rsid w:val="00B31850"/>
    <w:rsid w:val="00B32FBC"/>
    <w:rsid w:val="00B33433"/>
    <w:rsid w:val="00B34698"/>
    <w:rsid w:val="00B346F9"/>
    <w:rsid w:val="00B34A49"/>
    <w:rsid w:val="00B34DC5"/>
    <w:rsid w:val="00B35113"/>
    <w:rsid w:val="00B351AE"/>
    <w:rsid w:val="00B416BF"/>
    <w:rsid w:val="00B41EAB"/>
    <w:rsid w:val="00B42A52"/>
    <w:rsid w:val="00B45F55"/>
    <w:rsid w:val="00B46E00"/>
    <w:rsid w:val="00B51018"/>
    <w:rsid w:val="00B514B6"/>
    <w:rsid w:val="00B51CD6"/>
    <w:rsid w:val="00B536DC"/>
    <w:rsid w:val="00B53B2F"/>
    <w:rsid w:val="00B5501C"/>
    <w:rsid w:val="00B55AD1"/>
    <w:rsid w:val="00B56525"/>
    <w:rsid w:val="00B571DA"/>
    <w:rsid w:val="00B5771A"/>
    <w:rsid w:val="00B600B3"/>
    <w:rsid w:val="00B607B2"/>
    <w:rsid w:val="00B61E23"/>
    <w:rsid w:val="00B62472"/>
    <w:rsid w:val="00B62C84"/>
    <w:rsid w:val="00B64F4A"/>
    <w:rsid w:val="00B6504D"/>
    <w:rsid w:val="00B7292E"/>
    <w:rsid w:val="00B74C0F"/>
    <w:rsid w:val="00B74F7D"/>
    <w:rsid w:val="00B754C5"/>
    <w:rsid w:val="00B759FB"/>
    <w:rsid w:val="00B7614B"/>
    <w:rsid w:val="00B766D0"/>
    <w:rsid w:val="00B77CD4"/>
    <w:rsid w:val="00B800E7"/>
    <w:rsid w:val="00B80D12"/>
    <w:rsid w:val="00B810DE"/>
    <w:rsid w:val="00B843AB"/>
    <w:rsid w:val="00B84BFF"/>
    <w:rsid w:val="00B861DA"/>
    <w:rsid w:val="00B87218"/>
    <w:rsid w:val="00B902F8"/>
    <w:rsid w:val="00B91328"/>
    <w:rsid w:val="00B94D0C"/>
    <w:rsid w:val="00B95806"/>
    <w:rsid w:val="00BA50AB"/>
    <w:rsid w:val="00BA599F"/>
    <w:rsid w:val="00BA6CFD"/>
    <w:rsid w:val="00BA72DE"/>
    <w:rsid w:val="00BA731F"/>
    <w:rsid w:val="00BA7F8E"/>
    <w:rsid w:val="00BB08BC"/>
    <w:rsid w:val="00BB1534"/>
    <w:rsid w:val="00BB3A4F"/>
    <w:rsid w:val="00BC1D8D"/>
    <w:rsid w:val="00BC3D1E"/>
    <w:rsid w:val="00BC5514"/>
    <w:rsid w:val="00BC60E6"/>
    <w:rsid w:val="00BC65ED"/>
    <w:rsid w:val="00BC6F7B"/>
    <w:rsid w:val="00BD3D2C"/>
    <w:rsid w:val="00BD4A29"/>
    <w:rsid w:val="00BD4DD6"/>
    <w:rsid w:val="00BD548C"/>
    <w:rsid w:val="00BD5DA3"/>
    <w:rsid w:val="00BD6528"/>
    <w:rsid w:val="00BD7574"/>
    <w:rsid w:val="00BE4AB7"/>
    <w:rsid w:val="00BE5A40"/>
    <w:rsid w:val="00BE63E6"/>
    <w:rsid w:val="00BE7D46"/>
    <w:rsid w:val="00BF053F"/>
    <w:rsid w:val="00BF1089"/>
    <w:rsid w:val="00BF237A"/>
    <w:rsid w:val="00BF3ED1"/>
    <w:rsid w:val="00BF42CC"/>
    <w:rsid w:val="00BF6411"/>
    <w:rsid w:val="00BF7041"/>
    <w:rsid w:val="00BF75DF"/>
    <w:rsid w:val="00BF789F"/>
    <w:rsid w:val="00C02161"/>
    <w:rsid w:val="00C03678"/>
    <w:rsid w:val="00C03D43"/>
    <w:rsid w:val="00C04F7C"/>
    <w:rsid w:val="00C06026"/>
    <w:rsid w:val="00C06BD7"/>
    <w:rsid w:val="00C07653"/>
    <w:rsid w:val="00C0774C"/>
    <w:rsid w:val="00C07849"/>
    <w:rsid w:val="00C10128"/>
    <w:rsid w:val="00C10911"/>
    <w:rsid w:val="00C122D9"/>
    <w:rsid w:val="00C12BD5"/>
    <w:rsid w:val="00C13F81"/>
    <w:rsid w:val="00C1501B"/>
    <w:rsid w:val="00C209E1"/>
    <w:rsid w:val="00C2155E"/>
    <w:rsid w:val="00C226E7"/>
    <w:rsid w:val="00C24467"/>
    <w:rsid w:val="00C25ECC"/>
    <w:rsid w:val="00C26441"/>
    <w:rsid w:val="00C276F9"/>
    <w:rsid w:val="00C30C6C"/>
    <w:rsid w:val="00C35A78"/>
    <w:rsid w:val="00C362C9"/>
    <w:rsid w:val="00C36C0E"/>
    <w:rsid w:val="00C36E88"/>
    <w:rsid w:val="00C37802"/>
    <w:rsid w:val="00C423B4"/>
    <w:rsid w:val="00C43BE7"/>
    <w:rsid w:val="00C45B78"/>
    <w:rsid w:val="00C50CD9"/>
    <w:rsid w:val="00C50E93"/>
    <w:rsid w:val="00C51F77"/>
    <w:rsid w:val="00C526DD"/>
    <w:rsid w:val="00C52C5D"/>
    <w:rsid w:val="00C53CCE"/>
    <w:rsid w:val="00C5576A"/>
    <w:rsid w:val="00C57C8A"/>
    <w:rsid w:val="00C613FC"/>
    <w:rsid w:val="00C6233F"/>
    <w:rsid w:val="00C64EBA"/>
    <w:rsid w:val="00C6555A"/>
    <w:rsid w:val="00C66384"/>
    <w:rsid w:val="00C66ABF"/>
    <w:rsid w:val="00C66EC7"/>
    <w:rsid w:val="00C70351"/>
    <w:rsid w:val="00C71D2C"/>
    <w:rsid w:val="00C724A0"/>
    <w:rsid w:val="00C73989"/>
    <w:rsid w:val="00C7442F"/>
    <w:rsid w:val="00C74B47"/>
    <w:rsid w:val="00C778EB"/>
    <w:rsid w:val="00C811E3"/>
    <w:rsid w:val="00C82EF8"/>
    <w:rsid w:val="00C85764"/>
    <w:rsid w:val="00C87196"/>
    <w:rsid w:val="00C901EE"/>
    <w:rsid w:val="00C90298"/>
    <w:rsid w:val="00C923FD"/>
    <w:rsid w:val="00C97A14"/>
    <w:rsid w:val="00CA16A4"/>
    <w:rsid w:val="00CA1F6B"/>
    <w:rsid w:val="00CA2843"/>
    <w:rsid w:val="00CA46D9"/>
    <w:rsid w:val="00CA4966"/>
    <w:rsid w:val="00CA5557"/>
    <w:rsid w:val="00CA73B4"/>
    <w:rsid w:val="00CB004C"/>
    <w:rsid w:val="00CB009A"/>
    <w:rsid w:val="00CB0C97"/>
    <w:rsid w:val="00CB31CB"/>
    <w:rsid w:val="00CB3304"/>
    <w:rsid w:val="00CB3801"/>
    <w:rsid w:val="00CB4E87"/>
    <w:rsid w:val="00CB543F"/>
    <w:rsid w:val="00CB59A9"/>
    <w:rsid w:val="00CC0706"/>
    <w:rsid w:val="00CC1418"/>
    <w:rsid w:val="00CC21DE"/>
    <w:rsid w:val="00CC271F"/>
    <w:rsid w:val="00CC4E08"/>
    <w:rsid w:val="00CC67EC"/>
    <w:rsid w:val="00CD0D6F"/>
    <w:rsid w:val="00CD1E5F"/>
    <w:rsid w:val="00CD2FF0"/>
    <w:rsid w:val="00CE162A"/>
    <w:rsid w:val="00CE2A61"/>
    <w:rsid w:val="00CE6153"/>
    <w:rsid w:val="00CF064E"/>
    <w:rsid w:val="00CF2E61"/>
    <w:rsid w:val="00CF32A5"/>
    <w:rsid w:val="00CF4202"/>
    <w:rsid w:val="00CF4773"/>
    <w:rsid w:val="00CF4B9B"/>
    <w:rsid w:val="00CF54BE"/>
    <w:rsid w:val="00CF56FC"/>
    <w:rsid w:val="00CF711C"/>
    <w:rsid w:val="00D01786"/>
    <w:rsid w:val="00D01E4D"/>
    <w:rsid w:val="00D02972"/>
    <w:rsid w:val="00D06BC9"/>
    <w:rsid w:val="00D079F8"/>
    <w:rsid w:val="00D07B4F"/>
    <w:rsid w:val="00D15B6C"/>
    <w:rsid w:val="00D16F34"/>
    <w:rsid w:val="00D20C0D"/>
    <w:rsid w:val="00D22B5A"/>
    <w:rsid w:val="00D22B81"/>
    <w:rsid w:val="00D232CA"/>
    <w:rsid w:val="00D23496"/>
    <w:rsid w:val="00D25D39"/>
    <w:rsid w:val="00D25D50"/>
    <w:rsid w:val="00D27D95"/>
    <w:rsid w:val="00D305C5"/>
    <w:rsid w:val="00D30D7D"/>
    <w:rsid w:val="00D32D18"/>
    <w:rsid w:val="00D3361E"/>
    <w:rsid w:val="00D36BA5"/>
    <w:rsid w:val="00D40CC3"/>
    <w:rsid w:val="00D40DCD"/>
    <w:rsid w:val="00D40F38"/>
    <w:rsid w:val="00D4202F"/>
    <w:rsid w:val="00D438B3"/>
    <w:rsid w:val="00D50FDA"/>
    <w:rsid w:val="00D528C4"/>
    <w:rsid w:val="00D54753"/>
    <w:rsid w:val="00D55054"/>
    <w:rsid w:val="00D55712"/>
    <w:rsid w:val="00D5590E"/>
    <w:rsid w:val="00D55D8F"/>
    <w:rsid w:val="00D6175B"/>
    <w:rsid w:val="00D624D5"/>
    <w:rsid w:val="00D6456B"/>
    <w:rsid w:val="00D64C23"/>
    <w:rsid w:val="00D654EA"/>
    <w:rsid w:val="00D66A16"/>
    <w:rsid w:val="00D70731"/>
    <w:rsid w:val="00D75EE3"/>
    <w:rsid w:val="00D80110"/>
    <w:rsid w:val="00D8070C"/>
    <w:rsid w:val="00D8265C"/>
    <w:rsid w:val="00D83188"/>
    <w:rsid w:val="00D83821"/>
    <w:rsid w:val="00D86EA5"/>
    <w:rsid w:val="00D8744D"/>
    <w:rsid w:val="00D92950"/>
    <w:rsid w:val="00D92DD6"/>
    <w:rsid w:val="00D966EF"/>
    <w:rsid w:val="00D96902"/>
    <w:rsid w:val="00D97B7A"/>
    <w:rsid w:val="00DA143E"/>
    <w:rsid w:val="00DA4185"/>
    <w:rsid w:val="00DA568D"/>
    <w:rsid w:val="00DB1524"/>
    <w:rsid w:val="00DB20DD"/>
    <w:rsid w:val="00DB4543"/>
    <w:rsid w:val="00DB515C"/>
    <w:rsid w:val="00DB61DC"/>
    <w:rsid w:val="00DB6935"/>
    <w:rsid w:val="00DC2224"/>
    <w:rsid w:val="00DC3A38"/>
    <w:rsid w:val="00DC3AE2"/>
    <w:rsid w:val="00DC4DEE"/>
    <w:rsid w:val="00DD056E"/>
    <w:rsid w:val="00DD0AA2"/>
    <w:rsid w:val="00DD3034"/>
    <w:rsid w:val="00DD3225"/>
    <w:rsid w:val="00DD51E0"/>
    <w:rsid w:val="00DD53A4"/>
    <w:rsid w:val="00DD53BF"/>
    <w:rsid w:val="00DD5997"/>
    <w:rsid w:val="00DD6181"/>
    <w:rsid w:val="00DD6492"/>
    <w:rsid w:val="00DD7152"/>
    <w:rsid w:val="00DE15D2"/>
    <w:rsid w:val="00DE2D07"/>
    <w:rsid w:val="00DE51B3"/>
    <w:rsid w:val="00DE606A"/>
    <w:rsid w:val="00DE6EAE"/>
    <w:rsid w:val="00DF1074"/>
    <w:rsid w:val="00DF1FC4"/>
    <w:rsid w:val="00DF492E"/>
    <w:rsid w:val="00DF5213"/>
    <w:rsid w:val="00DF5D34"/>
    <w:rsid w:val="00DF76F0"/>
    <w:rsid w:val="00E03CDA"/>
    <w:rsid w:val="00E056F6"/>
    <w:rsid w:val="00E05C55"/>
    <w:rsid w:val="00E10000"/>
    <w:rsid w:val="00E101EC"/>
    <w:rsid w:val="00E11A2B"/>
    <w:rsid w:val="00E12DDE"/>
    <w:rsid w:val="00E1433B"/>
    <w:rsid w:val="00E15DCA"/>
    <w:rsid w:val="00E16170"/>
    <w:rsid w:val="00E205D4"/>
    <w:rsid w:val="00E227E6"/>
    <w:rsid w:val="00E22C75"/>
    <w:rsid w:val="00E25340"/>
    <w:rsid w:val="00E254BF"/>
    <w:rsid w:val="00E2559E"/>
    <w:rsid w:val="00E26D7E"/>
    <w:rsid w:val="00E30B28"/>
    <w:rsid w:val="00E31512"/>
    <w:rsid w:val="00E32D4B"/>
    <w:rsid w:val="00E32F5E"/>
    <w:rsid w:val="00E334E7"/>
    <w:rsid w:val="00E35297"/>
    <w:rsid w:val="00E356B2"/>
    <w:rsid w:val="00E36D54"/>
    <w:rsid w:val="00E40CD9"/>
    <w:rsid w:val="00E41AFD"/>
    <w:rsid w:val="00E42C1B"/>
    <w:rsid w:val="00E43FC4"/>
    <w:rsid w:val="00E45435"/>
    <w:rsid w:val="00E45B6B"/>
    <w:rsid w:val="00E46BF1"/>
    <w:rsid w:val="00E477BE"/>
    <w:rsid w:val="00E47B41"/>
    <w:rsid w:val="00E47B63"/>
    <w:rsid w:val="00E51368"/>
    <w:rsid w:val="00E51C59"/>
    <w:rsid w:val="00E52281"/>
    <w:rsid w:val="00E524E2"/>
    <w:rsid w:val="00E52DBC"/>
    <w:rsid w:val="00E56470"/>
    <w:rsid w:val="00E5666D"/>
    <w:rsid w:val="00E5677E"/>
    <w:rsid w:val="00E56E76"/>
    <w:rsid w:val="00E605C9"/>
    <w:rsid w:val="00E605DC"/>
    <w:rsid w:val="00E617BE"/>
    <w:rsid w:val="00E61F59"/>
    <w:rsid w:val="00E62564"/>
    <w:rsid w:val="00E63B3C"/>
    <w:rsid w:val="00E668BA"/>
    <w:rsid w:val="00E67A95"/>
    <w:rsid w:val="00E729F6"/>
    <w:rsid w:val="00E82A7D"/>
    <w:rsid w:val="00E83D1A"/>
    <w:rsid w:val="00E856E7"/>
    <w:rsid w:val="00E85D32"/>
    <w:rsid w:val="00E85F43"/>
    <w:rsid w:val="00E868C3"/>
    <w:rsid w:val="00E86F5E"/>
    <w:rsid w:val="00E90583"/>
    <w:rsid w:val="00E92028"/>
    <w:rsid w:val="00E9298E"/>
    <w:rsid w:val="00E950A5"/>
    <w:rsid w:val="00E95D81"/>
    <w:rsid w:val="00EA028D"/>
    <w:rsid w:val="00EA06FC"/>
    <w:rsid w:val="00EA09B7"/>
    <w:rsid w:val="00EA0B19"/>
    <w:rsid w:val="00EA2710"/>
    <w:rsid w:val="00EA33B7"/>
    <w:rsid w:val="00EA466D"/>
    <w:rsid w:val="00EA5559"/>
    <w:rsid w:val="00EA77AA"/>
    <w:rsid w:val="00EA789C"/>
    <w:rsid w:val="00EB462D"/>
    <w:rsid w:val="00EB4C4D"/>
    <w:rsid w:val="00EB6A08"/>
    <w:rsid w:val="00EC20E5"/>
    <w:rsid w:val="00EC5331"/>
    <w:rsid w:val="00EC5A68"/>
    <w:rsid w:val="00ED1840"/>
    <w:rsid w:val="00ED1D83"/>
    <w:rsid w:val="00ED26C4"/>
    <w:rsid w:val="00ED2E7D"/>
    <w:rsid w:val="00ED3709"/>
    <w:rsid w:val="00ED416B"/>
    <w:rsid w:val="00ED41E5"/>
    <w:rsid w:val="00ED43E3"/>
    <w:rsid w:val="00ED4749"/>
    <w:rsid w:val="00ED4C5A"/>
    <w:rsid w:val="00ED6F27"/>
    <w:rsid w:val="00EE56E3"/>
    <w:rsid w:val="00EE5945"/>
    <w:rsid w:val="00EE5B04"/>
    <w:rsid w:val="00EE6BB3"/>
    <w:rsid w:val="00F02191"/>
    <w:rsid w:val="00F022FD"/>
    <w:rsid w:val="00F02FDE"/>
    <w:rsid w:val="00F0341F"/>
    <w:rsid w:val="00F039F8"/>
    <w:rsid w:val="00F06160"/>
    <w:rsid w:val="00F0667C"/>
    <w:rsid w:val="00F12A46"/>
    <w:rsid w:val="00F12B4C"/>
    <w:rsid w:val="00F1334F"/>
    <w:rsid w:val="00F1386B"/>
    <w:rsid w:val="00F1516A"/>
    <w:rsid w:val="00F165B1"/>
    <w:rsid w:val="00F1759B"/>
    <w:rsid w:val="00F17C15"/>
    <w:rsid w:val="00F20AAB"/>
    <w:rsid w:val="00F221BD"/>
    <w:rsid w:val="00F228A5"/>
    <w:rsid w:val="00F26D54"/>
    <w:rsid w:val="00F30865"/>
    <w:rsid w:val="00F316C5"/>
    <w:rsid w:val="00F31744"/>
    <w:rsid w:val="00F3407B"/>
    <w:rsid w:val="00F345BE"/>
    <w:rsid w:val="00F34B75"/>
    <w:rsid w:val="00F35528"/>
    <w:rsid w:val="00F35CBB"/>
    <w:rsid w:val="00F35E8A"/>
    <w:rsid w:val="00F3614C"/>
    <w:rsid w:val="00F363E2"/>
    <w:rsid w:val="00F36401"/>
    <w:rsid w:val="00F40125"/>
    <w:rsid w:val="00F4085A"/>
    <w:rsid w:val="00F43373"/>
    <w:rsid w:val="00F43ADD"/>
    <w:rsid w:val="00F44D05"/>
    <w:rsid w:val="00F46451"/>
    <w:rsid w:val="00F46D4A"/>
    <w:rsid w:val="00F51C42"/>
    <w:rsid w:val="00F51C9D"/>
    <w:rsid w:val="00F533E4"/>
    <w:rsid w:val="00F53A6E"/>
    <w:rsid w:val="00F61EA1"/>
    <w:rsid w:val="00F65F37"/>
    <w:rsid w:val="00F67529"/>
    <w:rsid w:val="00F6780B"/>
    <w:rsid w:val="00F67D5F"/>
    <w:rsid w:val="00F7005E"/>
    <w:rsid w:val="00F70250"/>
    <w:rsid w:val="00F715A4"/>
    <w:rsid w:val="00F72AD3"/>
    <w:rsid w:val="00F74DD0"/>
    <w:rsid w:val="00F770C3"/>
    <w:rsid w:val="00F772E4"/>
    <w:rsid w:val="00F77AEA"/>
    <w:rsid w:val="00F8150C"/>
    <w:rsid w:val="00F82B74"/>
    <w:rsid w:val="00F83B42"/>
    <w:rsid w:val="00F840DA"/>
    <w:rsid w:val="00F84F36"/>
    <w:rsid w:val="00F901F3"/>
    <w:rsid w:val="00F9155B"/>
    <w:rsid w:val="00F92732"/>
    <w:rsid w:val="00F94C71"/>
    <w:rsid w:val="00F9503B"/>
    <w:rsid w:val="00F9583E"/>
    <w:rsid w:val="00F975CC"/>
    <w:rsid w:val="00FA08F8"/>
    <w:rsid w:val="00FA1ED2"/>
    <w:rsid w:val="00FA2972"/>
    <w:rsid w:val="00FA3255"/>
    <w:rsid w:val="00FA46C6"/>
    <w:rsid w:val="00FA6281"/>
    <w:rsid w:val="00FA6FB4"/>
    <w:rsid w:val="00FB064E"/>
    <w:rsid w:val="00FB616C"/>
    <w:rsid w:val="00FB620C"/>
    <w:rsid w:val="00FB6BDD"/>
    <w:rsid w:val="00FB7F4B"/>
    <w:rsid w:val="00FC0ECA"/>
    <w:rsid w:val="00FC255C"/>
    <w:rsid w:val="00FC47E9"/>
    <w:rsid w:val="00FC720F"/>
    <w:rsid w:val="00FC7CA8"/>
    <w:rsid w:val="00FD1698"/>
    <w:rsid w:val="00FD1EE8"/>
    <w:rsid w:val="00FD2A55"/>
    <w:rsid w:val="00FD2F7E"/>
    <w:rsid w:val="00FD48C3"/>
    <w:rsid w:val="00FD4B96"/>
    <w:rsid w:val="00FD5242"/>
    <w:rsid w:val="00FD5DF0"/>
    <w:rsid w:val="00FD73D9"/>
    <w:rsid w:val="00FD7D5D"/>
    <w:rsid w:val="00FE1547"/>
    <w:rsid w:val="00FE3C48"/>
    <w:rsid w:val="00FE4847"/>
    <w:rsid w:val="00FE4DB0"/>
    <w:rsid w:val="00FE7DEA"/>
    <w:rsid w:val="00FF30B0"/>
    <w:rsid w:val="00FF34E0"/>
    <w:rsid w:val="00FF4935"/>
    <w:rsid w:val="00FF5829"/>
    <w:rsid w:val="00FF5A0D"/>
    <w:rsid w:val="00FF7569"/>
    <w:rsid w:val="00FF7CCB"/>
    <w:rsid w:val="3D927B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8"/>
      <w:lang w:val="en-US" w:eastAsia="zh-CN" w:bidi="mn-Mong-CN"/>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4"/>
    <w:semiHidden/>
    <w:unhideWhenUsed/>
    <w:uiPriority w:val="99"/>
    <w:rPr>
      <w:sz w:val="18"/>
      <w:szCs w:val="22"/>
    </w:rPr>
  </w:style>
  <w:style w:type="paragraph" w:styleId="3">
    <w:name w:val="footer"/>
    <w:basedOn w:val="1"/>
    <w:link w:val="7"/>
    <w:unhideWhenUsed/>
    <w:qFormat/>
    <w:uiPriority w:val="99"/>
    <w:pPr>
      <w:tabs>
        <w:tab w:val="center" w:pos="4153"/>
        <w:tab w:val="right" w:pos="8306"/>
      </w:tabs>
      <w:snapToGrid w:val="0"/>
      <w:jc w:val="left"/>
    </w:pPr>
    <w:rPr>
      <w:sz w:val="18"/>
      <w:szCs w:val="22"/>
    </w:rPr>
  </w:style>
  <w:style w:type="paragraph" w:styleId="4">
    <w:name w:val="header"/>
    <w:basedOn w:val="1"/>
    <w:link w:val="15"/>
    <w:semiHidden/>
    <w:unhideWhenUsed/>
    <w:uiPriority w:val="99"/>
    <w:pPr>
      <w:pBdr>
        <w:bottom w:val="single" w:color="auto" w:sz="6" w:space="1"/>
      </w:pBdr>
      <w:tabs>
        <w:tab w:val="center" w:pos="4153"/>
        <w:tab w:val="right" w:pos="8306"/>
      </w:tabs>
      <w:snapToGrid w:val="0"/>
      <w:jc w:val="center"/>
    </w:pPr>
    <w:rPr>
      <w:sz w:val="18"/>
      <w:szCs w:val="22"/>
    </w:rPr>
  </w:style>
  <w:style w:type="character" w:customStyle="1" w:styleId="7">
    <w:name w:val="页脚 Char"/>
    <w:basedOn w:val="5"/>
    <w:link w:val="3"/>
    <w:qFormat/>
    <w:uiPriority w:val="99"/>
    <w:rPr>
      <w:sz w:val="18"/>
      <w:lang w:bidi="mn-Mong-CN"/>
    </w:rPr>
  </w:style>
  <w:style w:type="paragraph" w:customStyle="1" w:styleId="8">
    <w:name w:val="标题1"/>
    <w:basedOn w:val="1"/>
    <w:link w:val="9"/>
    <w:qFormat/>
    <w:uiPriority w:val="0"/>
    <w:pPr>
      <w:widowControl/>
      <w:jc w:val="center"/>
    </w:pPr>
    <w:rPr>
      <w:rFonts w:ascii="华文中宋" w:hAnsi="华文中宋" w:eastAsia="华文中宋" w:cs="宋体"/>
      <w:b/>
      <w:bCs/>
      <w:color w:val="FF0000"/>
      <w:kern w:val="0"/>
      <w:sz w:val="44"/>
      <w:szCs w:val="44"/>
    </w:rPr>
  </w:style>
  <w:style w:type="character" w:customStyle="1" w:styleId="9">
    <w:name w:val="标题1 Char"/>
    <w:basedOn w:val="5"/>
    <w:link w:val="8"/>
    <w:qFormat/>
    <w:uiPriority w:val="0"/>
    <w:rPr>
      <w:rFonts w:ascii="华文中宋" w:hAnsi="华文中宋" w:eastAsia="华文中宋" w:cs="宋体"/>
      <w:b/>
      <w:bCs/>
      <w:color w:val="FF0000"/>
      <w:kern w:val="0"/>
      <w:sz w:val="44"/>
      <w:szCs w:val="44"/>
      <w:lang w:bidi="mn-Mong-CN"/>
    </w:rPr>
  </w:style>
  <w:style w:type="paragraph" w:customStyle="1" w:styleId="10">
    <w:name w:val="表头"/>
    <w:basedOn w:val="1"/>
    <w:link w:val="11"/>
    <w:qFormat/>
    <w:uiPriority w:val="0"/>
    <w:pPr>
      <w:widowControl/>
      <w:jc w:val="center"/>
    </w:pPr>
    <w:rPr>
      <w:rFonts w:ascii="楷体" w:hAnsi="楷体" w:eastAsia="楷体" w:cs="宋体"/>
      <w:b/>
      <w:bCs/>
      <w:color w:val="0070C0"/>
      <w:kern w:val="0"/>
      <w:sz w:val="24"/>
      <w:szCs w:val="24"/>
    </w:rPr>
  </w:style>
  <w:style w:type="character" w:customStyle="1" w:styleId="11">
    <w:name w:val="表头 Char"/>
    <w:basedOn w:val="5"/>
    <w:link w:val="10"/>
    <w:qFormat/>
    <w:uiPriority w:val="0"/>
    <w:rPr>
      <w:rFonts w:ascii="楷体" w:hAnsi="楷体" w:eastAsia="楷体" w:cs="宋体"/>
      <w:b/>
      <w:bCs/>
      <w:color w:val="0070C0"/>
      <w:kern w:val="0"/>
      <w:sz w:val="24"/>
      <w:szCs w:val="24"/>
      <w:lang w:bidi="mn-Mong-CN"/>
    </w:rPr>
  </w:style>
  <w:style w:type="paragraph" w:customStyle="1" w:styleId="12">
    <w:name w:val="表格2"/>
    <w:basedOn w:val="1"/>
    <w:link w:val="13"/>
    <w:qFormat/>
    <w:uiPriority w:val="0"/>
    <w:pPr>
      <w:widowControl/>
    </w:pPr>
    <w:rPr>
      <w:rFonts w:ascii="宋体" w:hAnsi="宋体" w:eastAsia="宋体" w:cs="宋体"/>
      <w:color w:val="00B0F0"/>
      <w:kern w:val="0"/>
      <w:sz w:val="18"/>
      <w:szCs w:val="18"/>
    </w:rPr>
  </w:style>
  <w:style w:type="character" w:customStyle="1" w:styleId="13">
    <w:name w:val="表格2 Char"/>
    <w:basedOn w:val="5"/>
    <w:link w:val="12"/>
    <w:qFormat/>
    <w:uiPriority w:val="0"/>
    <w:rPr>
      <w:rFonts w:ascii="宋体" w:hAnsi="宋体" w:eastAsia="宋体" w:cs="宋体"/>
      <w:color w:val="00B0F0"/>
      <w:kern w:val="0"/>
      <w:sz w:val="18"/>
      <w:szCs w:val="18"/>
      <w:lang w:bidi="mn-Mong-CN"/>
    </w:rPr>
  </w:style>
  <w:style w:type="character" w:customStyle="1" w:styleId="14">
    <w:name w:val="批注框文本 Char"/>
    <w:basedOn w:val="5"/>
    <w:link w:val="2"/>
    <w:semiHidden/>
    <w:uiPriority w:val="99"/>
    <w:rPr>
      <w:sz w:val="18"/>
      <w:lang w:bidi="mn-Mong-CN"/>
    </w:rPr>
  </w:style>
  <w:style w:type="character" w:customStyle="1" w:styleId="15">
    <w:name w:val="页眉 Char"/>
    <w:basedOn w:val="5"/>
    <w:link w:val="4"/>
    <w:semiHidden/>
    <w:uiPriority w:val="99"/>
    <w:rPr>
      <w:sz w:val="18"/>
      <w:lang w:bidi="mn-Mong-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13</Pages>
  <Words>1737</Words>
  <Characters>9905</Characters>
  <Lines>82</Lines>
  <Paragraphs>23</Paragraphs>
  <TotalTime>12</TotalTime>
  <ScaleCrop>false</ScaleCrop>
  <LinksUpToDate>false</LinksUpToDate>
  <CharactersWithSpaces>11619</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2015-12-28T02:59:00Z</dcterms:created>
  <dc:creator>AutoBVT</dc:creator>
  <cp:lastModifiedBy>微笑1389711517</cp:lastModifiedBy>
  <dcterms:modified xsi:type="dcterms:W3CDTF">2018-07-12T08:48:34Z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