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CE89">
      <w:pPr>
        <w:widowControl/>
        <w:spacing w:line="600" w:lineRule="atLeast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3：</w:t>
      </w:r>
    </w:p>
    <w:p w14:paraId="546A1F8F">
      <w:pPr>
        <w:widowControl/>
        <w:spacing w:line="600" w:lineRule="atLeast"/>
        <w:jc w:val="center"/>
        <w:rPr>
          <w:rFonts w:hint="default" w:ascii="方正小标宋_GBK" w:hAnsi="宋体" w:eastAsia="方正小标宋_GBK" w:cs="宋体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山西省消防安全重点单位申报表</w:t>
      </w:r>
    </w:p>
    <w:bookmarkEnd w:id="0"/>
    <w:tbl>
      <w:tblPr>
        <w:tblStyle w:val="2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905"/>
        <w:gridCol w:w="179"/>
        <w:gridCol w:w="1783"/>
        <w:gridCol w:w="1278"/>
        <w:gridCol w:w="702"/>
        <w:gridCol w:w="984"/>
        <w:gridCol w:w="580"/>
        <w:gridCol w:w="860"/>
        <w:gridCol w:w="720"/>
        <w:gridCol w:w="1680"/>
      </w:tblGrid>
      <w:tr w14:paraId="7AFA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27" w:type="dxa"/>
            <w:gridSpan w:val="3"/>
            <w:noWrap w:val="0"/>
            <w:vAlign w:val="center"/>
          </w:tcPr>
          <w:p w14:paraId="7506D0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单位名称</w:t>
            </w:r>
          </w:p>
        </w:tc>
        <w:tc>
          <w:tcPr>
            <w:tcW w:w="3061" w:type="dxa"/>
            <w:gridSpan w:val="2"/>
            <w:noWrap w:val="0"/>
            <w:vAlign w:val="center"/>
          </w:tcPr>
          <w:p w14:paraId="21F161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7F245D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申报所属类别</w:t>
            </w:r>
          </w:p>
        </w:tc>
        <w:tc>
          <w:tcPr>
            <w:tcW w:w="3840" w:type="dxa"/>
            <w:gridSpan w:val="4"/>
            <w:noWrap w:val="0"/>
            <w:vAlign w:val="center"/>
          </w:tcPr>
          <w:p w14:paraId="145A54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757C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727" w:type="dxa"/>
            <w:gridSpan w:val="3"/>
            <w:noWrap w:val="0"/>
            <w:vAlign w:val="center"/>
          </w:tcPr>
          <w:p w14:paraId="6C2410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地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/>
              </w:rPr>
              <w:t>址</w:t>
            </w:r>
          </w:p>
        </w:tc>
        <w:tc>
          <w:tcPr>
            <w:tcW w:w="3061" w:type="dxa"/>
            <w:gridSpan w:val="2"/>
            <w:noWrap w:val="0"/>
            <w:vAlign w:val="center"/>
          </w:tcPr>
          <w:p w14:paraId="3AC192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3F5C4E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邮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/>
              </w:rPr>
              <w:t>编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22218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F524D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电话</w:t>
            </w:r>
          </w:p>
        </w:tc>
        <w:tc>
          <w:tcPr>
            <w:tcW w:w="1680" w:type="dxa"/>
            <w:noWrap w:val="0"/>
            <w:vAlign w:val="center"/>
          </w:tcPr>
          <w:p w14:paraId="0D93FF8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47B5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27" w:type="dxa"/>
            <w:gridSpan w:val="3"/>
            <w:noWrap w:val="0"/>
            <w:vAlign w:val="center"/>
          </w:tcPr>
          <w:p w14:paraId="65C7E4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消防安全责任人</w:t>
            </w:r>
          </w:p>
        </w:tc>
        <w:tc>
          <w:tcPr>
            <w:tcW w:w="3061" w:type="dxa"/>
            <w:gridSpan w:val="2"/>
            <w:noWrap w:val="0"/>
            <w:vAlign w:val="center"/>
          </w:tcPr>
          <w:p w14:paraId="75BDB8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61C480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消防安全管理人</w:t>
            </w:r>
          </w:p>
        </w:tc>
        <w:tc>
          <w:tcPr>
            <w:tcW w:w="3840" w:type="dxa"/>
            <w:gridSpan w:val="4"/>
            <w:noWrap w:val="0"/>
            <w:vAlign w:val="center"/>
          </w:tcPr>
          <w:p w14:paraId="2FD193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0818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10" w:type="dxa"/>
            <w:gridSpan w:val="4"/>
            <w:noWrap w:val="0"/>
            <w:vAlign w:val="center"/>
          </w:tcPr>
          <w:p w14:paraId="64AB74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验收（或备案）和开业前检查时间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6F5EEE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4C4226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文号或备案号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 w14:paraId="3D9FAA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0708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restart"/>
            <w:noWrap w:val="0"/>
            <w:vAlign w:val="center"/>
          </w:tcPr>
          <w:p w14:paraId="416432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申</w:t>
            </w:r>
          </w:p>
          <w:p w14:paraId="298C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报</w:t>
            </w:r>
          </w:p>
          <w:p w14:paraId="234DDD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单</w:t>
            </w:r>
          </w:p>
          <w:p w14:paraId="0A07A1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位</w:t>
            </w:r>
          </w:p>
          <w:p w14:paraId="30EF13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类</w:t>
            </w:r>
          </w:p>
          <w:p w14:paraId="64A77E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别</w:t>
            </w:r>
          </w:p>
        </w:tc>
        <w:tc>
          <w:tcPr>
            <w:tcW w:w="905" w:type="dxa"/>
            <w:vMerge w:val="restart"/>
            <w:noWrap w:val="0"/>
            <w:vAlign w:val="center"/>
          </w:tcPr>
          <w:p w14:paraId="22465D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一</w:t>
            </w:r>
          </w:p>
        </w:tc>
        <w:tc>
          <w:tcPr>
            <w:tcW w:w="8766" w:type="dxa"/>
            <w:gridSpan w:val="9"/>
            <w:noWrap w:val="0"/>
            <w:vAlign w:val="center"/>
          </w:tcPr>
          <w:p w14:paraId="73DE3DD2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□1</w:t>
            </w:r>
            <w:r>
              <w:rPr>
                <w:rFonts w:ascii="Times New Roman"/>
              </w:rPr>
              <w:t>、建筑面积＞</w:t>
            </w:r>
            <w:r>
              <w:rPr>
                <w:rFonts w:ascii="Times New Roman" w:hAnsi="Times New Roman"/>
              </w:rPr>
              <w:t>1000 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/>
              </w:rPr>
              <w:t>且经营可燃商品的商场（商店、市场）</w:t>
            </w:r>
            <w:r>
              <w:rPr>
                <w:rFonts w:ascii="Times New Roman" w:hAnsi="Times New Roman"/>
              </w:rPr>
              <w:t xml:space="preserve">     </w:t>
            </w:r>
          </w:p>
        </w:tc>
      </w:tr>
      <w:tr w14:paraId="1FC0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2592C5F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6B9882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66" w:type="dxa"/>
            <w:gridSpan w:val="9"/>
            <w:noWrap w:val="0"/>
            <w:vAlign w:val="center"/>
          </w:tcPr>
          <w:p w14:paraId="2E3346F9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□2</w:t>
            </w:r>
            <w:r>
              <w:rPr>
                <w:rFonts w:ascii="Times New Roman"/>
              </w:rPr>
              <w:t>、客房数＞</w:t>
            </w: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/>
              </w:rPr>
              <w:t>间的宾馆（旅馆、饭店）</w:t>
            </w:r>
            <w:r>
              <w:rPr>
                <w:rFonts w:ascii="Times New Roman" w:hAnsi="Times New Roman"/>
              </w:rPr>
              <w:t xml:space="preserve"> □3</w:t>
            </w:r>
            <w:r>
              <w:rPr>
                <w:rFonts w:ascii="Times New Roman"/>
              </w:rPr>
              <w:t>、餐位</w:t>
            </w:r>
            <w:r>
              <w:rPr>
                <w:rFonts w:ascii="Times New Roman" w:hAnsi="Times New Roman"/>
              </w:rPr>
              <w:t>&gt;500</w:t>
            </w:r>
            <w:r>
              <w:rPr>
                <w:rFonts w:ascii="Times New Roman"/>
              </w:rPr>
              <w:t>座的营业性饭店、酒店</w:t>
            </w:r>
          </w:p>
        </w:tc>
      </w:tr>
      <w:tr w14:paraId="25B5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7E3C170B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421765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66" w:type="dxa"/>
            <w:gridSpan w:val="9"/>
            <w:noWrap w:val="0"/>
            <w:vAlign w:val="center"/>
          </w:tcPr>
          <w:p w14:paraId="571E95A6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□4</w:t>
            </w:r>
            <w:r>
              <w:rPr>
                <w:rFonts w:ascii="Times New Roman"/>
              </w:rPr>
              <w:t>、公共的体育场（馆）、会堂</w:t>
            </w:r>
            <w:r>
              <w:rPr>
                <w:rFonts w:ascii="Times New Roman" w:hAnsi="Times New Roman"/>
              </w:rPr>
              <w:t xml:space="preserve">   </w:t>
            </w:r>
          </w:p>
        </w:tc>
      </w:tr>
      <w:tr w14:paraId="2D26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5FCB392D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404651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66" w:type="dxa"/>
            <w:gridSpan w:val="9"/>
            <w:noWrap w:val="0"/>
            <w:vAlign w:val="center"/>
          </w:tcPr>
          <w:p w14:paraId="55B1AF0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□5</w:t>
            </w:r>
            <w:r>
              <w:rPr>
                <w:rFonts w:ascii="Times New Roman"/>
              </w:rPr>
              <w:t>、建筑面积</w:t>
            </w:r>
            <w:r>
              <w:rPr>
                <w:rFonts w:ascii="Times New Roman" w:hAnsi="Times New Roman"/>
              </w:rPr>
              <w:t>&gt;200 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/>
              </w:rPr>
              <w:t>以上的公共娱乐场所：</w:t>
            </w: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/>
              </w:rPr>
              <w:t>影剧院、录像厅、礼堂等演出、放映场所；</w:t>
            </w: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/>
              </w:rPr>
              <w:t>舞厅、卡拉</w:t>
            </w:r>
            <w:r>
              <w:rPr>
                <w:rFonts w:ascii="Times New Roman" w:hAnsi="Times New Roman"/>
              </w:rPr>
              <w:t>O K</w:t>
            </w:r>
            <w:r>
              <w:rPr>
                <w:rFonts w:ascii="Times New Roman"/>
              </w:rPr>
              <w:t>厅等歌舞娱乐场所；</w:t>
            </w:r>
            <w:r>
              <w:rPr>
                <w:rFonts w:ascii="Times New Roman" w:hAnsi="Times New Roman"/>
              </w:rPr>
              <w:t xml:space="preserve"> □</w:t>
            </w:r>
            <w:r>
              <w:rPr>
                <w:rFonts w:ascii="Times New Roman"/>
              </w:rPr>
              <w:t>夜总会、音乐茶座和具有娱乐功能的餐饮场所；</w:t>
            </w: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/>
              </w:rPr>
              <w:t>游艺、游乐场所；</w:t>
            </w: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/>
              </w:rPr>
              <w:t>保龄球馆、旱冰场、桑拿浴池等营业性健身、休闲场所；</w:t>
            </w:r>
          </w:p>
          <w:p w14:paraId="5729CE7F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/>
              </w:rPr>
              <w:t>美容院、棋牌室、洗脚房、茶馆、网吧等场所。</w:t>
            </w:r>
          </w:p>
        </w:tc>
      </w:tr>
      <w:tr w14:paraId="546D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1E619ED4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restart"/>
            <w:noWrap w:val="0"/>
            <w:vAlign w:val="center"/>
          </w:tcPr>
          <w:p w14:paraId="16823E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二</w:t>
            </w:r>
          </w:p>
        </w:tc>
        <w:tc>
          <w:tcPr>
            <w:tcW w:w="8766" w:type="dxa"/>
            <w:gridSpan w:val="9"/>
            <w:noWrap w:val="0"/>
            <w:vAlign w:val="center"/>
          </w:tcPr>
          <w:p w14:paraId="0E828698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□1</w:t>
            </w:r>
            <w:r>
              <w:rPr>
                <w:rFonts w:ascii="Times New Roman"/>
              </w:rPr>
              <w:t>、住院床位</w:t>
            </w:r>
            <w:r>
              <w:rPr>
                <w:rFonts w:ascii="Times New Roman" w:hAnsi="Times New Roman"/>
              </w:rPr>
              <w:t>&gt;50</w:t>
            </w:r>
            <w:r>
              <w:rPr>
                <w:rFonts w:ascii="Times New Roman"/>
              </w:rPr>
              <w:t>张的医院</w:t>
            </w:r>
            <w:r>
              <w:rPr>
                <w:rFonts w:ascii="Times New Roman" w:hAnsi="Times New Roman"/>
              </w:rPr>
              <w:t xml:space="preserve">      □2</w:t>
            </w:r>
            <w:r>
              <w:rPr>
                <w:rFonts w:ascii="Times New Roman"/>
              </w:rPr>
              <w:t>、老人住宿床位</w:t>
            </w:r>
            <w:r>
              <w:rPr>
                <w:rFonts w:ascii="Times New Roman" w:hAnsi="Times New Roman"/>
              </w:rPr>
              <w:t>&gt;50</w:t>
            </w:r>
            <w:r>
              <w:rPr>
                <w:rFonts w:ascii="Times New Roman"/>
              </w:rPr>
              <w:t>张的养老院</w:t>
            </w:r>
          </w:p>
        </w:tc>
      </w:tr>
      <w:tr w14:paraId="4F7B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139D78C3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405762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66" w:type="dxa"/>
            <w:gridSpan w:val="9"/>
            <w:noWrap w:val="0"/>
            <w:vAlign w:val="center"/>
          </w:tcPr>
          <w:p w14:paraId="154228FD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□3</w:t>
            </w:r>
            <w:r>
              <w:rPr>
                <w:rFonts w:ascii="Times New Roman"/>
              </w:rPr>
              <w:t>、学生住宿床位</w:t>
            </w:r>
            <w:r>
              <w:rPr>
                <w:rFonts w:ascii="Times New Roman" w:hAnsi="Times New Roman"/>
              </w:rPr>
              <w:t>&gt;100</w:t>
            </w:r>
            <w:r>
              <w:rPr>
                <w:rFonts w:ascii="Times New Roman"/>
              </w:rPr>
              <w:t>张的学校</w:t>
            </w:r>
            <w:r>
              <w:rPr>
                <w:rFonts w:ascii="Times New Roman" w:hAnsi="Times New Roman"/>
              </w:rPr>
              <w:t xml:space="preserve"> □4</w:t>
            </w:r>
            <w:r>
              <w:rPr>
                <w:rFonts w:ascii="Times New Roman"/>
              </w:rPr>
              <w:t>、幼儿住宿床位</w:t>
            </w:r>
            <w:r>
              <w:rPr>
                <w:rFonts w:ascii="Times New Roman" w:hAnsi="Times New Roman"/>
              </w:rPr>
              <w:t>&gt;50</w:t>
            </w:r>
            <w:r>
              <w:rPr>
                <w:rFonts w:ascii="Times New Roman"/>
              </w:rPr>
              <w:t>张的托儿所、幼儿园</w:t>
            </w:r>
          </w:p>
        </w:tc>
      </w:tr>
      <w:tr w14:paraId="2669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47A2ABE3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restart"/>
            <w:noWrap w:val="0"/>
            <w:vAlign w:val="center"/>
          </w:tcPr>
          <w:p w14:paraId="705F4B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三</w:t>
            </w:r>
          </w:p>
        </w:tc>
        <w:tc>
          <w:tcPr>
            <w:tcW w:w="8766" w:type="dxa"/>
            <w:gridSpan w:val="9"/>
            <w:noWrap w:val="0"/>
            <w:vAlign w:val="center"/>
          </w:tcPr>
          <w:p w14:paraId="4D9BBBCE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□1</w:t>
            </w:r>
            <w:r>
              <w:rPr>
                <w:rFonts w:ascii="Times New Roman"/>
              </w:rPr>
              <w:t>、</w:t>
            </w:r>
            <w:r>
              <w:rPr>
                <w:rFonts w:ascii="Times New Roman"/>
                <w:snapToGrid w:val="0"/>
                <w:spacing w:val="-6"/>
                <w:kern w:val="0"/>
              </w:rPr>
              <w:t>县级以上的党委、人大、政府、政协办公楼</w:t>
            </w:r>
            <w:r>
              <w:rPr>
                <w:rFonts w:ascii="Times New Roman" w:hAnsi="Times New Roman"/>
              </w:rPr>
              <w:t xml:space="preserve"> □2</w:t>
            </w:r>
            <w:r>
              <w:rPr>
                <w:rFonts w:ascii="Times New Roman"/>
              </w:rPr>
              <w:t>、</w:t>
            </w:r>
            <w:r>
              <w:rPr>
                <w:rFonts w:ascii="Times New Roman"/>
                <w:spacing w:val="-8"/>
              </w:rPr>
              <w:t>县级以上人民检察院、人民法院办公楼</w:t>
            </w:r>
          </w:p>
        </w:tc>
      </w:tr>
      <w:tr w14:paraId="522C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33535F78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65E245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66" w:type="dxa"/>
            <w:gridSpan w:val="9"/>
            <w:noWrap w:val="0"/>
            <w:vAlign w:val="center"/>
          </w:tcPr>
          <w:p w14:paraId="741161D2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  <w:snapToGrid w:val="0"/>
                <w:spacing w:val="-6"/>
                <w:kern w:val="0"/>
              </w:rPr>
              <w:t>3</w:t>
            </w:r>
            <w:r>
              <w:rPr>
                <w:rFonts w:ascii="Times New Roman"/>
                <w:snapToGrid w:val="0"/>
                <w:spacing w:val="-6"/>
                <w:kern w:val="0"/>
              </w:rPr>
              <w:t>、</w:t>
            </w:r>
            <w:r>
              <w:rPr>
                <w:rFonts w:ascii="Times New Roman"/>
                <w:snapToGrid w:val="0"/>
                <w:spacing w:val="-12"/>
                <w:kern w:val="0"/>
              </w:rPr>
              <w:t>办公场所为高层建筑的中央驻晋机关单位办公楼</w:t>
            </w:r>
            <w:r>
              <w:rPr>
                <w:rFonts w:ascii="Times New Roman" w:hAnsi="Times New Roman"/>
                <w:snapToGrid w:val="0"/>
                <w:spacing w:val="-6"/>
                <w:kern w:val="0"/>
              </w:rPr>
              <w:t xml:space="preserve"> □4</w:t>
            </w:r>
            <w:r>
              <w:rPr>
                <w:rFonts w:ascii="Times New Roman"/>
                <w:snapToGrid w:val="0"/>
                <w:spacing w:val="-6"/>
                <w:kern w:val="0"/>
              </w:rPr>
              <w:t>、</w:t>
            </w:r>
            <w:r>
              <w:rPr>
                <w:rFonts w:ascii="Times New Roman"/>
                <w:snapToGrid w:val="0"/>
                <w:spacing w:val="-12"/>
                <w:kern w:val="0"/>
              </w:rPr>
              <w:t>社会团体、党派集中的办公场所</w:t>
            </w:r>
          </w:p>
        </w:tc>
      </w:tr>
      <w:tr w14:paraId="62542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4ABA336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restart"/>
            <w:noWrap w:val="0"/>
            <w:vAlign w:val="center"/>
          </w:tcPr>
          <w:p w14:paraId="65FD33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四</w:t>
            </w:r>
          </w:p>
        </w:tc>
        <w:tc>
          <w:tcPr>
            <w:tcW w:w="8766" w:type="dxa"/>
            <w:gridSpan w:val="9"/>
            <w:noWrap w:val="0"/>
            <w:vAlign w:val="center"/>
          </w:tcPr>
          <w:p w14:paraId="43FC441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□1</w:t>
            </w:r>
            <w:r>
              <w:rPr>
                <w:rFonts w:ascii="Times New Roman"/>
              </w:rPr>
              <w:t>、</w:t>
            </w:r>
            <w:r>
              <w:rPr>
                <w:rFonts w:ascii="Times New Roman"/>
                <w:snapToGrid w:val="0"/>
                <w:spacing w:val="-10"/>
                <w:kern w:val="0"/>
              </w:rPr>
              <w:t>设有机房、播音室、录音室、摄影室、演播厅、多功能厅等场所的县级以上广播电台、电视台；</w:t>
            </w:r>
          </w:p>
        </w:tc>
      </w:tr>
      <w:tr w14:paraId="48A9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70A1B4C6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0012E2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66" w:type="dxa"/>
            <w:gridSpan w:val="9"/>
            <w:noWrap w:val="0"/>
            <w:vAlign w:val="center"/>
          </w:tcPr>
          <w:p w14:paraId="606D5C6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□2</w:t>
            </w:r>
            <w:r>
              <w:rPr>
                <w:rFonts w:ascii="Times New Roman"/>
              </w:rPr>
              <w:t>、设有机房、库房等场所的县级以上邮政和通信枢纽单位；</w:t>
            </w:r>
          </w:p>
        </w:tc>
      </w:tr>
      <w:tr w14:paraId="3C3D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1242CFB9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5582A2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66" w:type="dxa"/>
            <w:gridSpan w:val="9"/>
            <w:noWrap w:val="0"/>
            <w:vAlign w:val="center"/>
          </w:tcPr>
          <w:p w14:paraId="51CE6E9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□3、设有机房、印刷厂等场所的市级以上党政机关报社。</w:t>
            </w:r>
          </w:p>
        </w:tc>
      </w:tr>
      <w:tr w14:paraId="204E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6378F45E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noWrap w:val="0"/>
            <w:vAlign w:val="center"/>
          </w:tcPr>
          <w:p w14:paraId="25EFA96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五</w:t>
            </w:r>
          </w:p>
        </w:tc>
        <w:tc>
          <w:tcPr>
            <w:tcW w:w="8766" w:type="dxa"/>
            <w:gridSpan w:val="9"/>
            <w:noWrap w:val="0"/>
            <w:vAlign w:val="center"/>
          </w:tcPr>
          <w:p w14:paraId="2311B24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□1、候车厅、候船厅建筑面积&gt;500 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的客运车站、码头  □2、民用机场航站楼</w:t>
            </w:r>
          </w:p>
        </w:tc>
      </w:tr>
      <w:tr w14:paraId="2953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0468F52B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restart"/>
            <w:noWrap w:val="0"/>
            <w:vAlign w:val="center"/>
          </w:tcPr>
          <w:p w14:paraId="2C20E86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六</w:t>
            </w:r>
          </w:p>
        </w:tc>
        <w:tc>
          <w:tcPr>
            <w:tcW w:w="8766" w:type="dxa"/>
            <w:gridSpan w:val="9"/>
            <w:noWrap w:val="0"/>
            <w:vAlign w:val="center"/>
          </w:tcPr>
          <w:p w14:paraId="4C15D338">
            <w:pPr>
              <w:adjustRightInd w:val="0"/>
              <w:snapToGrid w:val="0"/>
              <w:spacing w:line="240" w:lineRule="atLeast"/>
              <w:ind w:left="107" w:hanging="107" w:hangingChars="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□1、建筑面积&gt;2000 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的公共图书馆、展览馆      </w:t>
            </w:r>
          </w:p>
        </w:tc>
      </w:tr>
      <w:tr w14:paraId="7BFB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638DAEF6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1662C1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66" w:type="dxa"/>
            <w:gridSpan w:val="9"/>
            <w:noWrap w:val="0"/>
            <w:vAlign w:val="center"/>
          </w:tcPr>
          <w:p w14:paraId="55B948F3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□2、公共博物馆、档案馆         □3、具有火灾危险性的县级以上文物保护单位</w:t>
            </w:r>
          </w:p>
        </w:tc>
      </w:tr>
      <w:tr w14:paraId="1EBF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7B2BAFD6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noWrap w:val="0"/>
            <w:vAlign w:val="center"/>
          </w:tcPr>
          <w:p w14:paraId="00010A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七</w:t>
            </w:r>
          </w:p>
        </w:tc>
        <w:tc>
          <w:tcPr>
            <w:tcW w:w="8766" w:type="dxa"/>
            <w:gridSpan w:val="9"/>
            <w:noWrap w:val="0"/>
            <w:vAlign w:val="center"/>
          </w:tcPr>
          <w:p w14:paraId="6125FD8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 w:val="0"/>
                <w:spacing w:val="-10"/>
                <w:kern w:val="0"/>
              </w:rPr>
              <w:t>□1、</w:t>
            </w:r>
            <w:r>
              <w:rPr>
                <w:rFonts w:ascii="Times New Roman" w:hAnsi="Times New Roman"/>
              </w:rPr>
              <w:t>装机容量10万千瓦以上的发电厂   □2、电压50千伏以上的地区变电站</w:t>
            </w:r>
          </w:p>
          <w:p w14:paraId="08E18C7A">
            <w:pPr>
              <w:adjustRightInd w:val="0"/>
              <w:snapToGrid w:val="0"/>
              <w:spacing w:line="240" w:lineRule="atLeast"/>
              <w:ind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□3、县级以上的电力调度楼。</w:t>
            </w:r>
          </w:p>
        </w:tc>
      </w:tr>
      <w:tr w14:paraId="6965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207F1AA1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restart"/>
            <w:noWrap w:val="0"/>
            <w:vAlign w:val="center"/>
          </w:tcPr>
          <w:p w14:paraId="454511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八</w:t>
            </w:r>
          </w:p>
        </w:tc>
        <w:tc>
          <w:tcPr>
            <w:tcW w:w="8766" w:type="dxa"/>
            <w:gridSpan w:val="9"/>
            <w:noWrap w:val="0"/>
            <w:vAlign w:val="center"/>
          </w:tcPr>
          <w:p w14:paraId="2CFAAA58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□1、生产易燃易爆化学物品的工厂      □2、易燃易爆气体和液体的灌装站、调压站     </w:t>
            </w:r>
          </w:p>
        </w:tc>
      </w:tr>
      <w:tr w14:paraId="6FBC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302E7816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346525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66" w:type="dxa"/>
            <w:gridSpan w:val="9"/>
            <w:noWrap w:val="0"/>
            <w:vAlign w:val="center"/>
          </w:tcPr>
          <w:p w14:paraId="1E4B83BD">
            <w:pPr>
              <w:adjustRightInd w:val="0"/>
              <w:snapToGrid w:val="0"/>
              <w:spacing w:line="240" w:lineRule="atLeast"/>
              <w:ind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□3、储存易燃易爆化学物品的专用仓库（堆场、储罐场所）</w:t>
            </w:r>
          </w:p>
        </w:tc>
      </w:tr>
      <w:tr w14:paraId="7980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6F20BF52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70DB96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66" w:type="dxa"/>
            <w:gridSpan w:val="9"/>
            <w:noWrap w:val="0"/>
            <w:vAlign w:val="center"/>
          </w:tcPr>
          <w:p w14:paraId="60E5C5E6">
            <w:pPr>
              <w:adjustRightInd w:val="0"/>
              <w:snapToGrid w:val="0"/>
              <w:spacing w:line="240" w:lineRule="atLeast"/>
              <w:ind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□4、营业性汽车加油站、加气站、加油加气合用站、液化石油气供应站（换瓶站）</w:t>
            </w:r>
          </w:p>
        </w:tc>
      </w:tr>
      <w:tr w14:paraId="4187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5772688B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7D095B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66" w:type="dxa"/>
            <w:gridSpan w:val="9"/>
            <w:noWrap w:val="0"/>
            <w:vAlign w:val="center"/>
          </w:tcPr>
          <w:p w14:paraId="1712E50E">
            <w:pPr>
              <w:adjustRightInd w:val="0"/>
              <w:snapToGrid w:val="0"/>
              <w:spacing w:line="240" w:lineRule="atLeast"/>
              <w:ind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□5、</w:t>
            </w:r>
            <w:r>
              <w:rPr>
                <w:rFonts w:ascii="Times New Roman" w:hAnsi="Times New Roman"/>
                <w:snapToGrid w:val="0"/>
                <w:spacing w:val="-10"/>
                <w:kern w:val="0"/>
              </w:rPr>
              <w:t>经营甲、乙类易燃易爆化学物品且店内存放总量固体 &gt;300公斤、液体 &gt;1立方米的化工商店</w:t>
            </w:r>
          </w:p>
        </w:tc>
      </w:tr>
      <w:tr w14:paraId="5F5B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01B9477E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0F8079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66" w:type="dxa"/>
            <w:gridSpan w:val="9"/>
            <w:noWrap w:val="0"/>
            <w:vAlign w:val="center"/>
          </w:tcPr>
          <w:p w14:paraId="77377D9C">
            <w:pPr>
              <w:adjustRightInd w:val="0"/>
              <w:snapToGrid w:val="0"/>
              <w:spacing w:line="240" w:lineRule="atLeast"/>
              <w:ind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□6、经营管道燃气（含天然气、油制气、水煤气、液化石油气、煤层气等）的单位</w:t>
            </w:r>
          </w:p>
        </w:tc>
      </w:tr>
      <w:tr w14:paraId="18EC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598709B3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noWrap w:val="0"/>
            <w:vAlign w:val="center"/>
          </w:tcPr>
          <w:p w14:paraId="2D343E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九</w:t>
            </w:r>
          </w:p>
        </w:tc>
        <w:tc>
          <w:tcPr>
            <w:tcW w:w="8766" w:type="dxa"/>
            <w:gridSpan w:val="9"/>
            <w:noWrap w:val="0"/>
            <w:vAlign w:val="center"/>
          </w:tcPr>
          <w:p w14:paraId="24A384DA">
            <w:pPr>
              <w:adjustRightInd w:val="0"/>
              <w:snapToGrid w:val="0"/>
              <w:spacing w:line="240" w:lineRule="atLeast"/>
              <w:ind w:left="107" w:hanging="107" w:hangingChars="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□1、生产车间员工&gt;100人的服装、鞋帽、玩具、电子、食品加工厂等劳动密集型企业</w:t>
            </w:r>
          </w:p>
        </w:tc>
      </w:tr>
      <w:tr w14:paraId="29739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3FF408A8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restart"/>
            <w:noWrap w:val="0"/>
            <w:vAlign w:val="center"/>
          </w:tcPr>
          <w:p w14:paraId="416AAA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十</w:t>
            </w:r>
          </w:p>
        </w:tc>
        <w:tc>
          <w:tcPr>
            <w:tcW w:w="8766" w:type="dxa"/>
            <w:gridSpan w:val="9"/>
            <w:noWrap w:val="0"/>
            <w:vAlign w:val="center"/>
          </w:tcPr>
          <w:p w14:paraId="6A7FB7C8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□1、设有国家级重点实验室的科研单位          □2、设备价值&gt;1000万元的科研单位</w:t>
            </w:r>
          </w:p>
        </w:tc>
      </w:tr>
      <w:tr w14:paraId="3079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6EEA6549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608451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66" w:type="dxa"/>
            <w:gridSpan w:val="9"/>
            <w:noWrap w:val="0"/>
            <w:vAlign w:val="center"/>
          </w:tcPr>
          <w:p w14:paraId="164FDB89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□3、科研试验中具有火灾爆炸危险和储存易燃易爆危险化学品（甲、乙类）&gt;200kg的单位</w:t>
            </w:r>
          </w:p>
        </w:tc>
      </w:tr>
      <w:tr w14:paraId="6308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166E20A3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restart"/>
            <w:noWrap w:val="0"/>
            <w:vAlign w:val="center"/>
          </w:tcPr>
          <w:p w14:paraId="433406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十一</w:t>
            </w:r>
          </w:p>
        </w:tc>
        <w:tc>
          <w:tcPr>
            <w:tcW w:w="8766" w:type="dxa"/>
            <w:gridSpan w:val="9"/>
            <w:noWrap w:val="0"/>
            <w:vAlign w:val="center"/>
          </w:tcPr>
          <w:p w14:paraId="24A3978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□1、高层公共建筑的办公楼（写字楼）、公寓楼等</w:t>
            </w:r>
          </w:p>
        </w:tc>
      </w:tr>
      <w:tr w14:paraId="5776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7D116B1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044213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66" w:type="dxa"/>
            <w:gridSpan w:val="9"/>
            <w:noWrap w:val="0"/>
            <w:vAlign w:val="center"/>
          </w:tcPr>
          <w:p w14:paraId="41867FBE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□2、城市地下铁道、地下观光隧道等地下公共建筑和城市重要的交通隧道</w:t>
            </w:r>
          </w:p>
        </w:tc>
      </w:tr>
      <w:tr w14:paraId="77D9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4CA9207E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61F6B7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66" w:type="dxa"/>
            <w:gridSpan w:val="9"/>
            <w:noWrap w:val="0"/>
            <w:vAlign w:val="center"/>
          </w:tcPr>
          <w:p w14:paraId="71CA25B5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□3、国家储备粮库、总储量&gt;10000吨的其他粮库</w:t>
            </w:r>
          </w:p>
        </w:tc>
      </w:tr>
      <w:tr w14:paraId="66AB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1D2E6E37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3D3A98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66" w:type="dxa"/>
            <w:gridSpan w:val="9"/>
            <w:noWrap w:val="0"/>
            <w:vAlign w:val="center"/>
          </w:tcPr>
          <w:p w14:paraId="44BB317A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□4、总储量&gt;500吨的棉库            □5、总储量&gt;10000立方米的木材堆场</w:t>
            </w:r>
          </w:p>
        </w:tc>
      </w:tr>
      <w:tr w14:paraId="6559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6D30B391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1EF635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66" w:type="dxa"/>
            <w:gridSpan w:val="9"/>
            <w:noWrap w:val="0"/>
            <w:vAlign w:val="center"/>
          </w:tcPr>
          <w:p w14:paraId="1F0D4D6A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□6、总储存价值&gt;1000万元的可燃物品仓库、堆场  7、国家和省级重点工程的施工现场</w:t>
            </w:r>
          </w:p>
        </w:tc>
      </w:tr>
      <w:tr w14:paraId="4E11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5C03F05B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restart"/>
            <w:noWrap w:val="0"/>
            <w:vAlign w:val="center"/>
          </w:tcPr>
          <w:p w14:paraId="4F6FC9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十二</w:t>
            </w:r>
          </w:p>
        </w:tc>
        <w:tc>
          <w:tcPr>
            <w:tcW w:w="8766" w:type="dxa"/>
            <w:gridSpan w:val="9"/>
            <w:noWrap w:val="0"/>
            <w:vAlign w:val="center"/>
          </w:tcPr>
          <w:p w14:paraId="6433B26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□1、</w:t>
            </w:r>
            <w:r>
              <w:rPr>
                <w:rFonts w:ascii="Times New Roman" w:hAnsi="Times New Roman"/>
                <w:snapToGrid w:val="0"/>
                <w:spacing w:val="-10"/>
                <w:kern w:val="0"/>
              </w:rPr>
              <w:t>日生产纸浆60吨以上的造纸厂，30000锭以上的纺织厂，固定资产（建筑、设备、原材料等）价值在1亿元以上的电子、汽车、钢铁、医药、造船、烟草、航天、纺织、制革、造纸等有火灾危险性的工业企业；</w:t>
            </w:r>
          </w:p>
        </w:tc>
      </w:tr>
      <w:tr w14:paraId="723B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noWrap w:val="0"/>
            <w:vAlign w:val="top"/>
          </w:tcPr>
          <w:p w14:paraId="24E3B22A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 w:val="continue"/>
            <w:noWrap w:val="0"/>
            <w:vAlign w:val="top"/>
          </w:tcPr>
          <w:p w14:paraId="1518651C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8766" w:type="dxa"/>
            <w:gridSpan w:val="9"/>
            <w:noWrap w:val="0"/>
            <w:vAlign w:val="center"/>
          </w:tcPr>
          <w:p w14:paraId="4A3D1ED6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□2、</w:t>
            </w:r>
            <w:r>
              <w:rPr>
                <w:rFonts w:ascii="Times New Roman" w:hAnsi="Times New Roman"/>
                <w:snapToGrid w:val="0"/>
                <w:spacing w:val="-10"/>
                <w:kern w:val="0"/>
              </w:rPr>
              <w:t>营业厅面积&gt;1000平方米以上的证券、期货交易、劳务、人才中介市场的管理经营单位，县级以上银行、保险等金融服务机构；</w:t>
            </w:r>
            <w:r>
              <w:rPr>
                <w:rFonts w:ascii="Times New Roman" w:hAnsi="Times New Roman"/>
              </w:rPr>
              <w:t xml:space="preserve"> □3、具有火灾危险性的省级以上旅游风景区、风景点。</w:t>
            </w:r>
          </w:p>
        </w:tc>
      </w:tr>
      <w:tr w14:paraId="7DB1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190EAD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   注</w:t>
            </w:r>
          </w:p>
        </w:tc>
        <w:tc>
          <w:tcPr>
            <w:tcW w:w="8766" w:type="dxa"/>
            <w:gridSpan w:val="9"/>
            <w:noWrap w:val="0"/>
            <w:vAlign w:val="center"/>
          </w:tcPr>
          <w:p w14:paraId="433883A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本标准所称“以上”包括本数，“以下”不含本数。</w:t>
            </w:r>
          </w:p>
        </w:tc>
      </w:tr>
      <w:tr w14:paraId="2FB7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0314" w:type="dxa"/>
            <w:gridSpan w:val="11"/>
            <w:noWrap w:val="0"/>
            <w:vAlign w:val="center"/>
          </w:tcPr>
          <w:p w14:paraId="636D48F7">
            <w:pPr>
              <w:adjustRightInd w:val="0"/>
              <w:snapToGrid w:val="0"/>
              <w:spacing w:line="240" w:lineRule="atLeas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根据《山西省消防安全重点单位界定标准》，我单位属第  条  项所列范围内，故申报为山西省消防安全重点单位。   </w:t>
            </w:r>
          </w:p>
          <w:p w14:paraId="55FBB3D3">
            <w:pPr>
              <w:adjustRightInd w:val="0"/>
              <w:snapToGrid w:val="0"/>
              <w:spacing w:line="240" w:lineRule="atLeast"/>
              <w:ind w:firstLine="5040" w:firstLineChars="2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法定代表人（负责人）签字：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cr/>
            </w:r>
            <w:r>
              <w:rPr>
                <w:rFonts w:ascii="Times New Roman" w:hAnsi="Times New Roman"/>
              </w:rPr>
              <w:t xml:space="preserve">                                                单位（盖章）： </w:t>
            </w:r>
          </w:p>
          <w:p w14:paraId="7EF32BF5">
            <w:pPr>
              <w:adjustRightInd w:val="0"/>
              <w:snapToGrid w:val="0"/>
              <w:spacing w:line="240" w:lineRule="atLeast"/>
              <w:ind w:left="6405" w:hanging="6405" w:hangingChars="30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年      月      日 </w:t>
            </w:r>
          </w:p>
        </w:tc>
      </w:tr>
    </w:tbl>
    <w:p w14:paraId="6CE59B22">
      <w:pPr>
        <w:jc w:val="both"/>
        <w:rPr>
          <w:rFonts w:hint="eastAsia" w:ascii="Times New Roman" w:hAnsi="方正黑体_GBK" w:eastAsia="方正黑体_GBK"/>
          <w:bCs/>
          <w:sz w:val="32"/>
          <w:szCs w:val="32"/>
          <w:lang w:eastAsia="zh-CN"/>
        </w:rPr>
      </w:pPr>
    </w:p>
    <w:p w14:paraId="044C9CC4">
      <w:pPr>
        <w:rPr>
          <w:rFonts w:hint="eastAsia"/>
          <w:lang w:eastAsia="zh-CN"/>
        </w:rPr>
      </w:pPr>
    </w:p>
    <w:p w14:paraId="499605E0"/>
    <w:sectPr>
      <w:footerReference r:id="rId5" w:type="default"/>
      <w:pgSz w:w="11900" w:h="16830"/>
      <w:pgMar w:top="1440" w:right="1803" w:bottom="1440" w:left="1803" w:header="0" w:footer="13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9AC5EE4-0BB9-47F7-A074-8A41E4B1E44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4E7859B-BACA-4AE0-B3B1-046AD9DBAAB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8C1EA6E-4B9C-418E-A45A-7DA87741C10F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492BE9E-5B37-405E-A338-E500B605BB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509B2">
    <w:pPr>
      <w:spacing w:line="228" w:lineRule="auto"/>
      <w:ind w:left="124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B17E3"/>
    <w:rsid w:val="067B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2026-03-06T02:43:00Z</dcterms:created>
  <dc:creator>夏飛</dc:creator>
  <cp:lastModifiedBy>夏飛</cp:lastModifiedBy>
  <dcterms:modified xsi:type="dcterms:W3CDTF">2026-03-06T02:43:56Z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141E968FA8A74B2FA956CBE0708895CB_11</vt:lpwstr>
  </property>
  <property fmtid="{D5CDD505-2E9C-101B-9397-08002B2CF9AE}" pid="4" name="KSOTemplateDocerSaveRecord">
    <vt:lpwstr>eyJoZGlkIjoiOWRjYjRiMWY4NjMwZDk0NTkwNmRkZWM3MWVmNTljYTUiLCJ1c2VySWQiOiIzNTM0NTQ2MDcifQ==</vt:lpwstr>
  </property>
</Properties>
</file>